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F57AD" w14:textId="2A11FBA9" w:rsidR="00EB76E1" w:rsidRDefault="00EB76E1" w:rsidP="005977EC">
      <w:pPr>
        <w:rPr>
          <w:bCs/>
        </w:rPr>
      </w:pPr>
    </w:p>
    <w:p w14:paraId="67C620BB" w14:textId="2C32EA05" w:rsidR="00EB76E1" w:rsidRDefault="00EB76E1" w:rsidP="005977EC">
      <w:pPr>
        <w:rPr>
          <w:bCs/>
        </w:rPr>
      </w:pPr>
    </w:p>
    <w:p w14:paraId="42FB0E37" w14:textId="3C0634C1" w:rsidR="005F7FD1" w:rsidRPr="008C199D" w:rsidRDefault="000F3350" w:rsidP="005F7FD1">
      <w:pPr>
        <w:jc w:val="center"/>
        <w:rPr>
          <w:rFonts w:ascii="Avenir Heavy" w:hAnsi="Avenir Heavy" w:cs="Calibri"/>
          <w:b/>
          <w:bCs/>
          <w:color w:val="4472C4" w:themeColor="accent1"/>
          <w:sz w:val="36"/>
          <w:szCs w:val="36"/>
        </w:rPr>
      </w:pPr>
      <w:r>
        <w:rPr>
          <w:rFonts w:ascii="Avenir Heavy" w:hAnsi="Avenir Heavy" w:cs="Calibri"/>
          <w:b/>
          <w:bCs/>
          <w:color w:val="4472C4" w:themeColor="accent1"/>
          <w:sz w:val="36"/>
          <w:szCs w:val="36"/>
        </w:rPr>
        <w:t xml:space="preserve">Politique </w:t>
      </w:r>
      <w:r w:rsidR="00CC57F7">
        <w:rPr>
          <w:rFonts w:ascii="Avenir Heavy" w:hAnsi="Avenir Heavy" w:cs="Calibri"/>
          <w:b/>
          <w:bCs/>
          <w:color w:val="4472C4" w:themeColor="accent1"/>
          <w:sz w:val="36"/>
          <w:szCs w:val="36"/>
        </w:rPr>
        <w:t>de sélection des intermédiaires de Nortia Invest</w:t>
      </w:r>
    </w:p>
    <w:p w14:paraId="0D199690" w14:textId="77777777" w:rsidR="004F1A10" w:rsidRPr="004F1A10" w:rsidRDefault="004F1A10" w:rsidP="004F1A10">
      <w:pPr>
        <w:jc w:val="center"/>
        <w:rPr>
          <w:b/>
          <w:bCs/>
          <w:sz w:val="12"/>
          <w:szCs w:val="12"/>
          <w:u w:val="single"/>
        </w:rPr>
      </w:pPr>
    </w:p>
    <w:p w14:paraId="75864F6C" w14:textId="77777777" w:rsidR="005977EC" w:rsidRPr="0084591F" w:rsidRDefault="005977EC" w:rsidP="005977EC">
      <w:pPr>
        <w:rPr>
          <w:bCs/>
        </w:rPr>
      </w:pPr>
    </w:p>
    <w:p w14:paraId="3CA1D0E7" w14:textId="4A31777C" w:rsidR="008524FD" w:rsidRDefault="00C51D14">
      <w:r>
        <w:rPr>
          <w:noProof/>
        </w:rPr>
        <mc:AlternateContent>
          <mc:Choice Requires="wps">
            <w:drawing>
              <wp:anchor distT="0" distB="0" distL="114300" distR="114300" simplePos="0" relativeHeight="251675648" behindDoc="0" locked="0" layoutInCell="1" allowOverlap="1" wp14:anchorId="66C1B4AC" wp14:editId="197E97CD">
                <wp:simplePos x="0" y="0"/>
                <wp:positionH relativeFrom="margin">
                  <wp:align>center</wp:align>
                </wp:positionH>
                <wp:positionV relativeFrom="paragraph">
                  <wp:posOffset>240030</wp:posOffset>
                </wp:positionV>
                <wp:extent cx="5734050" cy="9525"/>
                <wp:effectExtent l="0" t="0" r="19050" b="28575"/>
                <wp:wrapNone/>
                <wp:docPr id="2" name="Connecteur droit 2"/>
                <wp:cNvGraphicFramePr/>
                <a:graphic xmlns:a="http://schemas.openxmlformats.org/drawingml/2006/main">
                  <a:graphicData uri="http://schemas.microsoft.com/office/word/2010/wordprocessingShape">
                    <wps:wsp>
                      <wps:cNvCnPr/>
                      <wps:spPr>
                        <a:xfrm flipV="1">
                          <a:off x="0" y="0"/>
                          <a:ext cx="5734050"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B0E221" id="Connecteur droit 2" o:spid="_x0000_s1026" style="position:absolute;flip:y;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8.9pt" to="451.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" strokecolor="#4472c4 [3204]" strokeweight="1.5pt">
                <v:stroke joinstyle="miter"/>
                <w10:wrap anchorx="margin"/>
              </v:line>
            </w:pict>
          </mc:Fallback>
        </mc:AlternateContent>
      </w:r>
    </w:p>
    <w:p w14:paraId="64B3DFDD" w14:textId="337C5F2C" w:rsidR="00C911E8" w:rsidRPr="005F7FD1" w:rsidRDefault="00C911E8" w:rsidP="00C911E8">
      <w:pPr>
        <w:rPr>
          <w:b/>
          <w:bCs/>
          <w:color w:val="4472C4" w:themeColor="accent1"/>
          <w:sz w:val="24"/>
          <w:szCs w:val="24"/>
        </w:rPr>
      </w:pPr>
    </w:p>
    <w:p w14:paraId="73E64A0E" w14:textId="77777777" w:rsidR="00C911E8" w:rsidRPr="0084591F" w:rsidRDefault="00C911E8"/>
    <w:p w14:paraId="4B49E3C8" w14:textId="27D87D4B" w:rsidR="009F076D" w:rsidRDefault="009F076D" w:rsidP="009F076D">
      <w:pPr>
        <w:spacing w:after="0" w:line="240" w:lineRule="auto"/>
      </w:pPr>
    </w:p>
    <w:p w14:paraId="374B65B6" w14:textId="77777777" w:rsidR="00C911E8" w:rsidRPr="008E765C" w:rsidRDefault="00C911E8" w:rsidP="009F076D">
      <w:pPr>
        <w:spacing w:after="0" w:line="240" w:lineRule="auto"/>
      </w:pPr>
    </w:p>
    <w:p w14:paraId="7584F2FD" w14:textId="756553B9" w:rsidR="0047512C" w:rsidRPr="009B33FB" w:rsidRDefault="0047512C" w:rsidP="000E6EA9">
      <w:pPr>
        <w:spacing w:after="0" w:line="240" w:lineRule="auto"/>
        <w:rPr>
          <w:rFonts w:eastAsia="Times New Roman" w:cs="Times New Roman"/>
          <w:b/>
          <w:color w:val="4472C4" w:themeColor="accent1"/>
          <w:sz w:val="32"/>
          <w:szCs w:val="32"/>
        </w:rPr>
      </w:pPr>
      <w:r w:rsidRPr="009B33FB">
        <w:rPr>
          <w:rFonts w:eastAsia="Times New Roman" w:cs="Times New Roman"/>
          <w:b/>
          <w:color w:val="4472C4" w:themeColor="accent1"/>
          <w:sz w:val="32"/>
          <w:szCs w:val="32"/>
        </w:rPr>
        <w:t>SOMMAIRE</w:t>
      </w:r>
    </w:p>
    <w:p w14:paraId="086AD098" w14:textId="77777777" w:rsidR="0047512C" w:rsidRPr="008E765C" w:rsidRDefault="0047512C" w:rsidP="005F7FD1">
      <w:pPr>
        <w:spacing w:after="0" w:line="240" w:lineRule="auto"/>
        <w:rPr>
          <w:rFonts w:eastAsia="Times New Roman" w:cs="Times New Roman"/>
          <w:sz w:val="24"/>
          <w:szCs w:val="20"/>
        </w:rPr>
      </w:pPr>
    </w:p>
    <w:p w14:paraId="773AC846" w14:textId="12F3A421" w:rsidR="0046634A" w:rsidRPr="00791F2C" w:rsidRDefault="00924FCF" w:rsidP="00B6107E">
      <w:pPr>
        <w:pStyle w:val="Paragraphedeliste"/>
        <w:numPr>
          <w:ilvl w:val="0"/>
          <w:numId w:val="8"/>
        </w:numPr>
        <w:rPr>
          <w:rFonts w:eastAsia="Times New Roman" w:cstheme="minorHAnsi"/>
          <w:bCs/>
          <w:sz w:val="28"/>
          <w:szCs w:val="28"/>
        </w:rPr>
      </w:pPr>
      <w:r w:rsidRPr="00791F2C">
        <w:rPr>
          <w:rFonts w:eastAsia="Times New Roman" w:cstheme="minorHAnsi"/>
          <w:bCs/>
          <w:sz w:val="28"/>
          <w:szCs w:val="28"/>
        </w:rPr>
        <w:t>Objet et domaine d’application (définition)</w:t>
      </w:r>
    </w:p>
    <w:p w14:paraId="4BB9B21C" w14:textId="60A88C6A" w:rsidR="00970FE0" w:rsidRPr="00791F2C" w:rsidRDefault="00924FCF" w:rsidP="00B6107E">
      <w:pPr>
        <w:pStyle w:val="Paragraphedeliste"/>
        <w:numPr>
          <w:ilvl w:val="0"/>
          <w:numId w:val="8"/>
        </w:numPr>
        <w:rPr>
          <w:rFonts w:eastAsia="Times New Roman" w:cstheme="minorHAnsi"/>
          <w:bCs/>
          <w:sz w:val="28"/>
          <w:szCs w:val="28"/>
        </w:rPr>
      </w:pPr>
      <w:bookmarkStart w:id="0" w:name="_Hlk78371660"/>
      <w:r w:rsidRPr="00791F2C">
        <w:rPr>
          <w:rFonts w:eastAsia="Times New Roman" w:cstheme="minorHAnsi"/>
          <w:bCs/>
          <w:sz w:val="28"/>
          <w:szCs w:val="28"/>
        </w:rPr>
        <w:t xml:space="preserve">Texte applicable </w:t>
      </w:r>
    </w:p>
    <w:bookmarkEnd w:id="0"/>
    <w:p w14:paraId="48A08E6B" w14:textId="4600F5D1" w:rsidR="008A4A64" w:rsidRPr="00D97882" w:rsidRDefault="001262C0" w:rsidP="0047512C">
      <w:pPr>
        <w:pStyle w:val="Paragraphedeliste"/>
        <w:numPr>
          <w:ilvl w:val="0"/>
          <w:numId w:val="8"/>
        </w:numPr>
        <w:rPr>
          <w:rFonts w:eastAsia="Times New Roman" w:cstheme="minorHAnsi"/>
          <w:bCs/>
          <w:sz w:val="28"/>
          <w:szCs w:val="28"/>
        </w:rPr>
      </w:pPr>
      <w:r w:rsidRPr="00791F2C">
        <w:rPr>
          <w:rFonts w:eastAsia="Times New Roman" w:cstheme="minorHAnsi"/>
          <w:bCs/>
          <w:sz w:val="28"/>
          <w:szCs w:val="28"/>
        </w:rPr>
        <w:t>Descriptif de la procédure</w:t>
      </w:r>
    </w:p>
    <w:p w14:paraId="196F8171" w14:textId="2DE332B0" w:rsidR="000F3350" w:rsidRDefault="000F3350" w:rsidP="000F3350">
      <w:pPr>
        <w:spacing w:after="0"/>
      </w:pPr>
    </w:p>
    <w:p w14:paraId="001C42AA" w14:textId="57361420" w:rsidR="00D97882" w:rsidRDefault="00D97882" w:rsidP="000F3350">
      <w:pPr>
        <w:spacing w:after="0"/>
      </w:pPr>
    </w:p>
    <w:p w14:paraId="50AEFB73" w14:textId="63F13B40" w:rsidR="00D97882" w:rsidRDefault="00D97882" w:rsidP="000F3350">
      <w:pPr>
        <w:spacing w:after="0"/>
      </w:pPr>
    </w:p>
    <w:p w14:paraId="570585C0" w14:textId="77777777" w:rsidR="000D662C" w:rsidRDefault="000D662C" w:rsidP="000F3350">
      <w:pPr>
        <w:spacing w:after="0"/>
      </w:pPr>
    </w:p>
    <w:p w14:paraId="30B3F2C8" w14:textId="4F0661F4" w:rsidR="000F3350" w:rsidRDefault="000F3350" w:rsidP="000F3350">
      <w:pPr>
        <w:pStyle w:val="Paragraphedeliste"/>
        <w:numPr>
          <w:ilvl w:val="0"/>
          <w:numId w:val="9"/>
        </w:numPr>
        <w:spacing w:after="0"/>
      </w:pPr>
      <w:bookmarkStart w:id="1" w:name="_Hlk83199512"/>
      <w:r w:rsidRPr="000F3350">
        <w:t>Objet et domaine d’application (définition)</w:t>
      </w:r>
    </w:p>
    <w:bookmarkEnd w:id="1"/>
    <w:p w14:paraId="42E8B92A" w14:textId="3DF3C7EA" w:rsidR="000F3350" w:rsidRDefault="000F3350" w:rsidP="00695D1A">
      <w:pPr>
        <w:spacing w:after="0"/>
        <w:jc w:val="both"/>
      </w:pPr>
    </w:p>
    <w:p w14:paraId="4C4920B7" w14:textId="720A8076" w:rsidR="000F3350" w:rsidRDefault="00695D1A" w:rsidP="009B6980">
      <w:pPr>
        <w:spacing w:after="0"/>
        <w:jc w:val="both"/>
      </w:pPr>
      <w:r>
        <w:t xml:space="preserve">La présente politique a pour objectif de définir le cadre sur la meilleur sélection (Best </w:t>
      </w:r>
      <w:proofErr w:type="spellStart"/>
      <w:r>
        <w:t>Selection</w:t>
      </w:r>
      <w:proofErr w:type="spellEnd"/>
      <w:r>
        <w:t>).</w:t>
      </w:r>
    </w:p>
    <w:p w14:paraId="3F352EF5" w14:textId="76574843" w:rsidR="00695D1A" w:rsidRDefault="00695D1A" w:rsidP="009B6980">
      <w:pPr>
        <w:spacing w:after="0"/>
        <w:jc w:val="both"/>
      </w:pPr>
    </w:p>
    <w:p w14:paraId="0D7C3BB0" w14:textId="1F6E73BA" w:rsidR="00695D1A" w:rsidRDefault="00695D1A" w:rsidP="009B6980">
      <w:pPr>
        <w:spacing w:after="0"/>
        <w:jc w:val="both"/>
      </w:pPr>
      <w:r>
        <w:t>Nortia Invest en tant que PSI avec un agrément de RTO (sans agrément pour l’exécution des ordres) doit transmettre les ordres reçus des clients finaux ou des CGP (selon le type d’instrument financier) pour qu’ils soient exécutés dans les meilleures conditions (notamment prix, rapidité).</w:t>
      </w:r>
      <w:r w:rsidR="00081C48">
        <w:t xml:space="preserve"> </w:t>
      </w:r>
      <w:r>
        <w:t>A cet effet, Nortia Invest est tenu de disposer d’une politique de meilleure sélection (des intermédiaires ou brokers).</w:t>
      </w:r>
    </w:p>
    <w:p w14:paraId="38676416" w14:textId="2E57062B" w:rsidR="000F3350" w:rsidRDefault="000F3350" w:rsidP="009B6980">
      <w:pPr>
        <w:spacing w:after="0"/>
        <w:jc w:val="both"/>
      </w:pPr>
    </w:p>
    <w:p w14:paraId="18B585DE" w14:textId="468D4AB9" w:rsidR="00936ABF" w:rsidRPr="005B1891" w:rsidRDefault="00936ABF" w:rsidP="009B6980">
      <w:pPr>
        <w:spacing w:after="0"/>
        <w:jc w:val="both"/>
      </w:pPr>
      <w:r>
        <w:t>L</w:t>
      </w:r>
      <w:r w:rsidRPr="00936ABF">
        <w:t>es PSI qui fournissent le service de </w:t>
      </w:r>
      <w:r w:rsidRPr="005B1891">
        <w:t>Réception transmission d’ordre pour compte de tiers, et qui confient l’exécution des ordres de leurs clients à un ou des PSI externes agréés, l’AMF prévoit un régime de responsabilité en cascade et leur demande d’élaborer une « politique de meilleure sélection » des PSI externes en question.</w:t>
      </w:r>
    </w:p>
    <w:p w14:paraId="22DDB49E" w14:textId="77777777" w:rsidR="00936ABF" w:rsidRPr="005B1891" w:rsidRDefault="00936ABF" w:rsidP="009B6980">
      <w:pPr>
        <w:spacing w:after="0"/>
        <w:jc w:val="both"/>
      </w:pPr>
    </w:p>
    <w:p w14:paraId="06DD45D5" w14:textId="195D3F71" w:rsidR="00936ABF" w:rsidRPr="005B1891" w:rsidRDefault="00936ABF" w:rsidP="009B6980">
      <w:pPr>
        <w:spacing w:after="0"/>
        <w:jc w:val="both"/>
      </w:pPr>
      <w:r w:rsidRPr="005B1891">
        <w:t>En particulier, il leur revient de s’assurer que le ou les tiers auxquels ils confient l’exécution des ordres de leurs clients sont eux-mêmes assujettis à une obligation de meilleure exécution, soit parce qu’ils sont agréés en tant que PSI pour offrir le service d’exécution, soit du fait de leur engagement contractuel. Dans ce contexte, il peut être justifié pour un PSI offrant le service de RTO de transmettre les ordres de ses clients à un intermédiaire unique s’il estime que celui-ci offrira la meilleure exécution possible de manière régulière dans la plupart des cas.</w:t>
      </w:r>
    </w:p>
    <w:p w14:paraId="5B947377" w14:textId="7F5C581D" w:rsidR="00936ABF" w:rsidRDefault="00936ABF" w:rsidP="009B6980">
      <w:pPr>
        <w:spacing w:after="0"/>
        <w:jc w:val="both"/>
      </w:pPr>
    </w:p>
    <w:p w14:paraId="14AD3CE2" w14:textId="77777777" w:rsidR="00CC57F7" w:rsidRPr="005B1891" w:rsidRDefault="00CC57F7" w:rsidP="009B6980">
      <w:pPr>
        <w:spacing w:after="0"/>
        <w:jc w:val="both"/>
      </w:pPr>
    </w:p>
    <w:p w14:paraId="5F99D2EE" w14:textId="77777777" w:rsidR="00936ABF" w:rsidRPr="00D17DE5" w:rsidRDefault="00936ABF" w:rsidP="009B6980">
      <w:pPr>
        <w:spacing w:after="0"/>
        <w:jc w:val="both"/>
        <w:rPr>
          <w:u w:val="single"/>
        </w:rPr>
      </w:pPr>
      <w:r w:rsidRPr="00D17DE5">
        <w:rPr>
          <w:u w:val="single"/>
        </w:rPr>
        <w:lastRenderedPageBreak/>
        <w:t>Elaboration et contenu de la politique</w:t>
      </w:r>
    </w:p>
    <w:p w14:paraId="2B3DD2A6" w14:textId="3920A66A" w:rsidR="00936ABF" w:rsidRPr="00936ABF" w:rsidRDefault="00936ABF" w:rsidP="009B6980">
      <w:pPr>
        <w:spacing w:after="0"/>
        <w:jc w:val="both"/>
      </w:pPr>
      <w:r w:rsidRPr="00936ABF">
        <w:t>Facteurs de choix</w:t>
      </w:r>
      <w:r w:rsidR="00D17DE5">
        <w:t> :</w:t>
      </w:r>
    </w:p>
    <w:p w14:paraId="7DC6EA24" w14:textId="60F8E854" w:rsidR="00936ABF" w:rsidRPr="00936ABF" w:rsidRDefault="00936ABF" w:rsidP="009B6980">
      <w:pPr>
        <w:spacing w:after="0"/>
        <w:jc w:val="both"/>
      </w:pPr>
      <w:r w:rsidRPr="00936ABF">
        <w:t>Le code monétaire et financier</w:t>
      </w:r>
      <w:r w:rsidR="00FC2BE0">
        <w:t xml:space="preserve"> </w:t>
      </w:r>
      <w:r w:rsidR="00FC2BE0" w:rsidRPr="00FC2BE0">
        <w:t>(article L533-18) </w:t>
      </w:r>
      <w:r w:rsidRPr="00936ABF">
        <w:t>identifie 7 facteurs d’appréciation de la meilleure exécution : le prix, le coût, la rapidité, la probabilité d’exécution et de règlement, la taille, la nature de l’ordre et « toutes autres considérations relatives à l’exécution de l’ordre ».</w:t>
      </w:r>
    </w:p>
    <w:p w14:paraId="53115DFD" w14:textId="77777777" w:rsidR="00936ABF" w:rsidRPr="00936ABF" w:rsidRDefault="00936ABF" w:rsidP="009B6980">
      <w:pPr>
        <w:spacing w:after="0"/>
        <w:jc w:val="both"/>
      </w:pPr>
      <w:r w:rsidRPr="00936ABF">
        <w:t xml:space="preserve">Dans sa politique de « best </w:t>
      </w:r>
      <w:proofErr w:type="spellStart"/>
      <w:r w:rsidRPr="00936ABF">
        <w:t>execution</w:t>
      </w:r>
      <w:proofErr w:type="spellEnd"/>
      <w:r w:rsidRPr="00936ABF">
        <w:t xml:space="preserve"> » / « best </w:t>
      </w:r>
      <w:proofErr w:type="spellStart"/>
      <w:r w:rsidRPr="00936ABF">
        <w:t>selection</w:t>
      </w:r>
      <w:proofErr w:type="spellEnd"/>
      <w:r w:rsidRPr="00936ABF">
        <w:t> » le PSI décrit sa stratégie d’exécution ou de sélection et l’importance relative accordée à chacun de ces facteurs en fonction notamment des critères suivants :</w:t>
      </w:r>
    </w:p>
    <w:p w14:paraId="5C4F96F0" w14:textId="1CB43FE3" w:rsidR="00936ABF" w:rsidRPr="00936ABF" w:rsidRDefault="00936ABF" w:rsidP="009B6980">
      <w:pPr>
        <w:numPr>
          <w:ilvl w:val="0"/>
          <w:numId w:val="10"/>
        </w:numPr>
        <w:spacing w:after="0"/>
        <w:jc w:val="both"/>
      </w:pPr>
      <w:r w:rsidRPr="00936ABF">
        <w:t xml:space="preserve">Client professionnel ou non professionnel ; pour les clients non professionnels, le principal critère est le « coût total » de l’ordre. Pour les clients professionnels, l’impact </w:t>
      </w:r>
      <w:r w:rsidR="00FC2BE0" w:rsidRPr="00936ABF">
        <w:t>de marché</w:t>
      </w:r>
      <w:r w:rsidRPr="00936ABF">
        <w:t xml:space="preserve"> de l’ordre ou la rapidité d’exécution peuvent avoir plus d’importance.</w:t>
      </w:r>
    </w:p>
    <w:p w14:paraId="745E61D5" w14:textId="77777777" w:rsidR="00936ABF" w:rsidRPr="00936ABF" w:rsidRDefault="00936ABF" w:rsidP="009B6980">
      <w:pPr>
        <w:numPr>
          <w:ilvl w:val="0"/>
          <w:numId w:val="10"/>
        </w:numPr>
        <w:spacing w:after="0"/>
        <w:jc w:val="both"/>
      </w:pPr>
      <w:r w:rsidRPr="00936ABF">
        <w:t>Les caractéristiques de l’ordre</w:t>
      </w:r>
    </w:p>
    <w:p w14:paraId="63DC10C1" w14:textId="77777777" w:rsidR="00936ABF" w:rsidRPr="00936ABF" w:rsidRDefault="00936ABF" w:rsidP="009B6980">
      <w:pPr>
        <w:numPr>
          <w:ilvl w:val="0"/>
          <w:numId w:val="10"/>
        </w:numPr>
        <w:spacing w:after="0"/>
        <w:jc w:val="both"/>
      </w:pPr>
      <w:r w:rsidRPr="00936ABF">
        <w:t>Les caractéristiques de l’instrument financier négocié, par exemple sa liquidité</w:t>
      </w:r>
    </w:p>
    <w:p w14:paraId="0C7B9701" w14:textId="77777777" w:rsidR="00936ABF" w:rsidRPr="00936ABF" w:rsidRDefault="00936ABF" w:rsidP="009B6980">
      <w:pPr>
        <w:numPr>
          <w:ilvl w:val="0"/>
          <w:numId w:val="10"/>
        </w:numPr>
        <w:spacing w:after="0"/>
        <w:jc w:val="both"/>
      </w:pPr>
      <w:r w:rsidRPr="00936ABF">
        <w:t>Les caractéristiques des lieux d’exécution possibles</w:t>
      </w:r>
    </w:p>
    <w:p w14:paraId="7C5CC180" w14:textId="77777777" w:rsidR="00936ABF" w:rsidRPr="00936ABF" w:rsidRDefault="00936ABF" w:rsidP="006C0CEE">
      <w:pPr>
        <w:spacing w:after="0"/>
        <w:jc w:val="both"/>
      </w:pPr>
      <w:r w:rsidRPr="00936ABF">
        <w:t>En ce qui concerne les « autres considérations », le PSI peut être amené à prendre en considération des critères qualitatifs ou quantitatifs tels que :</w:t>
      </w:r>
    </w:p>
    <w:p w14:paraId="0D7837ED" w14:textId="77777777" w:rsidR="00936ABF" w:rsidRPr="00936ABF" w:rsidRDefault="00936ABF">
      <w:pPr>
        <w:numPr>
          <w:ilvl w:val="0"/>
          <w:numId w:val="11"/>
        </w:numPr>
        <w:spacing w:after="0"/>
        <w:jc w:val="both"/>
      </w:pPr>
      <w:r w:rsidRPr="00936ABF">
        <w:t>L’existence d’une chambre de compensation couplée au système de négociation</w:t>
      </w:r>
    </w:p>
    <w:p w14:paraId="58062C47" w14:textId="77777777" w:rsidR="00936ABF" w:rsidRPr="00936ABF" w:rsidRDefault="00936ABF">
      <w:pPr>
        <w:numPr>
          <w:ilvl w:val="0"/>
          <w:numId w:val="11"/>
        </w:numPr>
        <w:spacing w:after="0"/>
        <w:jc w:val="both"/>
      </w:pPr>
      <w:r w:rsidRPr="00936ABF">
        <w:t>Le processus de formation des prix</w:t>
      </w:r>
    </w:p>
    <w:p w14:paraId="7FDD8DEF" w14:textId="77777777" w:rsidR="00936ABF" w:rsidRPr="00936ABF" w:rsidRDefault="00936ABF">
      <w:pPr>
        <w:numPr>
          <w:ilvl w:val="0"/>
          <w:numId w:val="11"/>
        </w:numPr>
        <w:spacing w:after="0"/>
        <w:jc w:val="both"/>
      </w:pPr>
      <w:r w:rsidRPr="00936ABF">
        <w:t>La transparence pré et post marché</w:t>
      </w:r>
    </w:p>
    <w:p w14:paraId="719B0A79" w14:textId="37A07670" w:rsidR="00936ABF" w:rsidRDefault="00936ABF">
      <w:pPr>
        <w:numPr>
          <w:ilvl w:val="0"/>
          <w:numId w:val="11"/>
        </w:numPr>
        <w:spacing w:after="0"/>
        <w:jc w:val="both"/>
      </w:pPr>
      <w:r w:rsidRPr="00936ABF">
        <w:t>Le coût d’intégration d’un nouveau lieu d’exécution dans sa politique</w:t>
      </w:r>
    </w:p>
    <w:p w14:paraId="21EC86BF" w14:textId="19383712" w:rsidR="00DF6461" w:rsidRDefault="00DF6461">
      <w:pPr>
        <w:spacing w:after="0"/>
        <w:jc w:val="both"/>
      </w:pPr>
    </w:p>
    <w:p w14:paraId="1CA5618B" w14:textId="0F9BC739" w:rsidR="00DF6461" w:rsidRDefault="00DF6461">
      <w:pPr>
        <w:spacing w:after="0"/>
        <w:jc w:val="both"/>
      </w:pPr>
    </w:p>
    <w:p w14:paraId="05F8DC53" w14:textId="77777777" w:rsidR="00797087" w:rsidRDefault="00797087" w:rsidP="00CB21D6">
      <w:pPr>
        <w:spacing w:after="0"/>
        <w:jc w:val="both"/>
        <w:rPr>
          <w:u w:val="single"/>
        </w:rPr>
      </w:pPr>
    </w:p>
    <w:p w14:paraId="63EDBF83" w14:textId="4714D9EB" w:rsidR="00936ABF" w:rsidRPr="00CB21D6" w:rsidRDefault="00936ABF" w:rsidP="00CB21D6">
      <w:pPr>
        <w:spacing w:after="0"/>
        <w:jc w:val="both"/>
        <w:rPr>
          <w:u w:val="single"/>
        </w:rPr>
      </w:pPr>
      <w:r w:rsidRPr="00CB21D6">
        <w:rPr>
          <w:u w:val="single"/>
        </w:rPr>
        <w:t>Description des lieux d'exécution</w:t>
      </w:r>
    </w:p>
    <w:p w14:paraId="32D8F2A9" w14:textId="77777777" w:rsidR="00936ABF" w:rsidRPr="00936ABF" w:rsidRDefault="00936ABF" w:rsidP="00CB21D6">
      <w:pPr>
        <w:spacing w:after="0"/>
        <w:jc w:val="both"/>
      </w:pPr>
      <w:r w:rsidRPr="00936ABF">
        <w:t>Dans sa politique de meilleure exécution le PSI répertorie les différents lieux d’exécution utilisés en fonction des types d’instruments traités. Pour les instruments négociés principalement de gré à gré, il décrit le processus de sélection des contreparties. En cas de possibilité d’exécution en dehors d’un marché réglementé ou d’un système multilatéral de négociation, il s’efforce de requérir l’autorisation du client. Il décrit également ses engagements dans le cas où le client transmet des instructions spécifiques quant au lieu d’exécution de l’ordre ayant pour effet de l’affranchir de tout ou partie de son obligation de meilleure exécution.</w:t>
      </w:r>
    </w:p>
    <w:p w14:paraId="47E210B7" w14:textId="4154F88E" w:rsidR="00936ABF" w:rsidRDefault="00936ABF" w:rsidP="00CB21D6">
      <w:pPr>
        <w:spacing w:after="0"/>
        <w:jc w:val="both"/>
      </w:pPr>
      <w:r w:rsidRPr="00936ABF">
        <w:t>Le contenu de la politique de meilleure sélection est similaire en ce qu’elle décrit différents PSI sélectionnés pour l’exécution des ordres ainsi que leur propre politique de meilleure exécution.</w:t>
      </w:r>
    </w:p>
    <w:p w14:paraId="73D026D7" w14:textId="77777777" w:rsidR="00147E6F" w:rsidRPr="00936ABF" w:rsidRDefault="00147E6F" w:rsidP="00CB21D6">
      <w:pPr>
        <w:spacing w:after="0"/>
        <w:jc w:val="both"/>
      </w:pPr>
    </w:p>
    <w:p w14:paraId="46A815B8" w14:textId="77777777" w:rsidR="00936ABF" w:rsidRPr="00CB21D6" w:rsidRDefault="00936ABF" w:rsidP="00CB21D6">
      <w:pPr>
        <w:spacing w:after="0"/>
        <w:jc w:val="both"/>
        <w:rPr>
          <w:u w:val="single"/>
        </w:rPr>
      </w:pPr>
      <w:r w:rsidRPr="00CB21D6">
        <w:rPr>
          <w:u w:val="single"/>
        </w:rPr>
        <w:t>Surveillance régulière et réexamen de la politique</w:t>
      </w:r>
    </w:p>
    <w:p w14:paraId="39561A7F" w14:textId="7F7E2A47" w:rsidR="00936ABF" w:rsidRPr="00936ABF" w:rsidRDefault="00936ABF" w:rsidP="00CB21D6">
      <w:pPr>
        <w:spacing w:after="0"/>
        <w:jc w:val="both"/>
      </w:pPr>
      <w:r w:rsidRPr="00936ABF">
        <w:t xml:space="preserve">Les résultats de la politique de meilleure exécution / sélection doivent faire l’objet d’une surveillance continue. Différentes méthodes peuvent être utilisées, telles que la comparaison des résultats obtenus pour des transactions semblables, des échantillonnages, l’analyse des réclamations des clients, et en ce qui concerne la politique de meilleure sélection, l’analyse des rapports d’exécution des PSI chargés de l’exécution des ordres. </w:t>
      </w:r>
    </w:p>
    <w:p w14:paraId="37434E22" w14:textId="77777777" w:rsidR="00936ABF" w:rsidRPr="00936ABF" w:rsidRDefault="00936ABF" w:rsidP="00CB21D6">
      <w:pPr>
        <w:spacing w:after="0"/>
        <w:jc w:val="both"/>
      </w:pPr>
      <w:r w:rsidRPr="00936ABF">
        <w:t>La politique doit être réexaminée au minimum annuellement. Un réexamen en cours d’année est également nécessaire :</w:t>
      </w:r>
    </w:p>
    <w:p w14:paraId="2C193995" w14:textId="77777777" w:rsidR="00936ABF" w:rsidRPr="00936ABF" w:rsidRDefault="00936ABF" w:rsidP="00CB21D6">
      <w:pPr>
        <w:numPr>
          <w:ilvl w:val="0"/>
          <w:numId w:val="12"/>
        </w:numPr>
        <w:spacing w:after="0"/>
        <w:jc w:val="both"/>
      </w:pPr>
      <w:proofErr w:type="gramStart"/>
      <w:r w:rsidRPr="00936ABF">
        <w:t>en</w:t>
      </w:r>
      <w:proofErr w:type="gramEnd"/>
      <w:r w:rsidRPr="00936ABF">
        <w:t xml:space="preserve"> cas d’incidents ou de changements significatifs dans le fonctionnement ou les coûts, suivant le cas, des plateformes de négociation ou des PSI sélectionnés pour exécuter les ordres</w:t>
      </w:r>
    </w:p>
    <w:p w14:paraId="5EC2CAB1" w14:textId="77777777" w:rsidR="00936ABF" w:rsidRPr="00936ABF" w:rsidRDefault="00936ABF" w:rsidP="00CB21D6">
      <w:pPr>
        <w:numPr>
          <w:ilvl w:val="0"/>
          <w:numId w:val="12"/>
        </w:numPr>
        <w:spacing w:after="0"/>
        <w:jc w:val="both"/>
      </w:pPr>
      <w:proofErr w:type="gramStart"/>
      <w:r w:rsidRPr="00936ABF">
        <w:t>en</w:t>
      </w:r>
      <w:proofErr w:type="gramEnd"/>
      <w:r w:rsidRPr="00936ABF">
        <w:t xml:space="preserve"> cas de demande des clients pour avoir accès, par exemple, à une nouvelle plateforme de négociation. Ce peut être le cas en particulier pour les obligations qui basculent progressivement de la négociation de gré à gré vers des systèmes multilatéraux de négociation.</w:t>
      </w:r>
    </w:p>
    <w:p w14:paraId="71E6BFAA" w14:textId="2628DC55" w:rsidR="00936ABF" w:rsidRPr="00936ABF" w:rsidRDefault="00936ABF" w:rsidP="00CB21D6">
      <w:pPr>
        <w:spacing w:after="0"/>
        <w:jc w:val="both"/>
      </w:pPr>
      <w:r w:rsidRPr="00936ABF">
        <w:lastRenderedPageBreak/>
        <w:t xml:space="preserve">Cet examen doit conduire à apprécier la qualité de l’exécution réellement fournie. </w:t>
      </w:r>
    </w:p>
    <w:p w14:paraId="3C53D505" w14:textId="77777777" w:rsidR="00936ABF" w:rsidRPr="00936ABF" w:rsidRDefault="00936ABF" w:rsidP="00CB21D6">
      <w:pPr>
        <w:spacing w:after="0"/>
        <w:jc w:val="both"/>
      </w:pPr>
      <w:r w:rsidRPr="00936ABF">
        <w:t>Les résultats du réexamen de la politique d’exécution/sélection doivent être consignés dans un document de synthèse qui doit être conservé au minimum 5 ans.</w:t>
      </w:r>
    </w:p>
    <w:p w14:paraId="395EE2BE" w14:textId="0ABE163A" w:rsidR="00936ABF" w:rsidRDefault="00936ABF" w:rsidP="00CB21D6">
      <w:pPr>
        <w:spacing w:after="0"/>
        <w:jc w:val="both"/>
      </w:pPr>
    </w:p>
    <w:p w14:paraId="041D8E7E" w14:textId="57F84FC3" w:rsidR="00936ABF" w:rsidRPr="00936ABF" w:rsidRDefault="00936ABF" w:rsidP="00CB21D6">
      <w:pPr>
        <w:spacing w:after="0"/>
        <w:jc w:val="both"/>
      </w:pPr>
      <w:r>
        <w:t xml:space="preserve">Pour rappel, </w:t>
      </w:r>
      <w:r w:rsidRPr="00936ABF">
        <w:t>Le code monétaire et financier (article L533-18) définit l’obligation de meilleure exécution en ces termes :</w:t>
      </w:r>
    </w:p>
    <w:p w14:paraId="7CF021E1" w14:textId="77777777" w:rsidR="00936ABF" w:rsidRPr="00936ABF" w:rsidRDefault="00936ABF" w:rsidP="00CB21D6">
      <w:pPr>
        <w:spacing w:after="0"/>
        <w:jc w:val="both"/>
        <w:rPr>
          <w:i/>
          <w:iCs/>
        </w:rPr>
      </w:pPr>
      <w:r w:rsidRPr="00936ABF">
        <w:rPr>
          <w:i/>
          <w:iCs/>
        </w:rPr>
        <w:t>Les prestataires de services d'investissement prennent toutes les mesures raisonnables pour obtenir, lors de l'exécution des ordres, le meilleur résultat possible pour leurs clients compte tenu du prix, du coût, de la rapidité, de la probabilité d'exécution et du règlement, de la taille, de la nature de l'ordre ou de toutes autres considérations relatives à l'exécution de l'ordre.</w:t>
      </w:r>
    </w:p>
    <w:p w14:paraId="39676E63" w14:textId="2350B817" w:rsidR="00936ABF" w:rsidRDefault="00936ABF" w:rsidP="000F3350">
      <w:pPr>
        <w:spacing w:after="0"/>
      </w:pPr>
    </w:p>
    <w:p w14:paraId="526B43CF" w14:textId="77777777" w:rsidR="00936ABF" w:rsidRDefault="00936ABF" w:rsidP="000F3350">
      <w:pPr>
        <w:spacing w:after="0"/>
      </w:pPr>
    </w:p>
    <w:p w14:paraId="521CF145" w14:textId="77777777" w:rsidR="00936ABF" w:rsidRPr="000F3350" w:rsidRDefault="00936ABF" w:rsidP="00CB21D6">
      <w:pPr>
        <w:spacing w:after="0"/>
        <w:jc w:val="both"/>
      </w:pPr>
    </w:p>
    <w:p w14:paraId="689CC2F7" w14:textId="2FC70B9B" w:rsidR="000F3350" w:rsidRDefault="00081C48" w:rsidP="00CB21D6">
      <w:pPr>
        <w:pStyle w:val="Paragraphedeliste"/>
        <w:numPr>
          <w:ilvl w:val="0"/>
          <w:numId w:val="9"/>
        </w:numPr>
        <w:spacing w:after="0"/>
        <w:jc w:val="both"/>
      </w:pPr>
      <w:r w:rsidRPr="00081C48">
        <w:t xml:space="preserve">Texte applicable </w:t>
      </w:r>
    </w:p>
    <w:p w14:paraId="62A6812C" w14:textId="28B66348" w:rsidR="000F3350" w:rsidRDefault="000F3350" w:rsidP="00CB21D6">
      <w:pPr>
        <w:spacing w:after="0"/>
        <w:jc w:val="both"/>
      </w:pPr>
    </w:p>
    <w:p w14:paraId="780B8304" w14:textId="3A79A511" w:rsidR="000F3350" w:rsidRDefault="00CD5AEB" w:rsidP="00CB21D6">
      <w:pPr>
        <w:spacing w:after="0"/>
        <w:jc w:val="both"/>
      </w:pPr>
      <w:r w:rsidRPr="00CD5AEB">
        <w:t>Article L533-18</w:t>
      </w:r>
      <w:r w:rsidR="00121F08">
        <w:t xml:space="preserve"> du RGAMF</w:t>
      </w:r>
    </w:p>
    <w:p w14:paraId="6F9C2539" w14:textId="08996A25" w:rsidR="000F3350" w:rsidRDefault="00121F08" w:rsidP="00CB21D6">
      <w:pPr>
        <w:spacing w:after="0"/>
        <w:jc w:val="both"/>
      </w:pPr>
      <w:r w:rsidRPr="00A72FF2">
        <w:t>Article</w:t>
      </w:r>
      <w:r w:rsidR="00A72FF2" w:rsidRPr="00A72FF2">
        <w:t xml:space="preserve"> 65 du Règlement Délégué MIF 2 2017/565</w:t>
      </w:r>
    </w:p>
    <w:p w14:paraId="5F3B2C3F" w14:textId="7C1D62D2" w:rsidR="00F209ED" w:rsidRDefault="00F209ED" w:rsidP="00CB21D6">
      <w:pPr>
        <w:spacing w:after="0"/>
        <w:jc w:val="both"/>
      </w:pPr>
    </w:p>
    <w:p w14:paraId="137648D9" w14:textId="77777777" w:rsidR="00A72FF2" w:rsidRDefault="00A72FF2" w:rsidP="00CB21D6">
      <w:pPr>
        <w:spacing w:after="0"/>
        <w:jc w:val="both"/>
      </w:pPr>
    </w:p>
    <w:p w14:paraId="280CEF88" w14:textId="28D9B4D3" w:rsidR="000F3350" w:rsidRDefault="00695D1A" w:rsidP="00CB21D6">
      <w:pPr>
        <w:pStyle w:val="Paragraphedeliste"/>
        <w:numPr>
          <w:ilvl w:val="0"/>
          <w:numId w:val="9"/>
        </w:numPr>
        <w:spacing w:after="0"/>
        <w:jc w:val="both"/>
      </w:pPr>
      <w:r w:rsidRPr="00695D1A">
        <w:t>Descriptif de la procédure</w:t>
      </w:r>
    </w:p>
    <w:p w14:paraId="29785BCC" w14:textId="77777777" w:rsidR="006C0CEE" w:rsidRDefault="006C0CEE" w:rsidP="006C0CEE">
      <w:pPr>
        <w:jc w:val="both"/>
        <w:rPr>
          <w:rFonts w:ascii="Calibri" w:eastAsia="Calibri" w:hAnsi="Calibri" w:cs="Calibri"/>
        </w:rPr>
      </w:pPr>
    </w:p>
    <w:p w14:paraId="22173DF5" w14:textId="47F5C6F7" w:rsidR="001077E6" w:rsidRDefault="00F209ED" w:rsidP="006C0CEE">
      <w:pPr>
        <w:jc w:val="both"/>
        <w:rPr>
          <w:rFonts w:ascii="Calibri" w:eastAsia="Calibri" w:hAnsi="Calibri" w:cs="Calibri"/>
        </w:rPr>
      </w:pPr>
      <w:r>
        <w:rPr>
          <w:rFonts w:ascii="Calibri" w:eastAsia="Calibri" w:hAnsi="Calibri" w:cs="Calibri"/>
        </w:rPr>
        <w:t xml:space="preserve">Dans ce cadre, suivant ce qui est définit dans le « 1. Objet et domaine d’application (définitions) » de la présente procédure, </w:t>
      </w:r>
      <w:r w:rsidR="001077E6">
        <w:rPr>
          <w:rFonts w:ascii="Calibri" w:eastAsia="Calibri" w:hAnsi="Calibri" w:cs="Calibri"/>
        </w:rPr>
        <w:t>l</w:t>
      </w:r>
      <w:r w:rsidR="00147E6F" w:rsidRPr="00147E6F">
        <w:rPr>
          <w:rFonts w:ascii="Calibri" w:eastAsia="Calibri" w:hAnsi="Calibri" w:cs="Calibri"/>
        </w:rPr>
        <w:t>a société NORTIA INVEST</w:t>
      </w:r>
      <w:r w:rsidR="001077E6">
        <w:rPr>
          <w:rFonts w:ascii="Calibri" w:eastAsia="Calibri" w:hAnsi="Calibri" w:cs="Calibri"/>
        </w:rPr>
        <w:t>, est une entreprise d’investissement agréée par l’Autorité de Contrôle Prudentiel et de Résolution (ACPR) pour l’activité de Réception et Transmission d’Ordres pour compte de tiers (RTO).</w:t>
      </w:r>
    </w:p>
    <w:p w14:paraId="066B8451" w14:textId="1841F7F0" w:rsidR="001077E6" w:rsidRDefault="001077E6" w:rsidP="006C0CEE">
      <w:pPr>
        <w:jc w:val="both"/>
        <w:rPr>
          <w:rFonts w:ascii="Calibri" w:eastAsia="Calibri" w:hAnsi="Calibri" w:cs="Calibri"/>
        </w:rPr>
      </w:pPr>
      <w:r>
        <w:rPr>
          <w:rFonts w:ascii="Calibri" w:eastAsia="Calibri" w:hAnsi="Calibri" w:cs="Calibri"/>
        </w:rPr>
        <w:t>A ce titre, NORTIA INVEST est soumise à l’obligation de meilleure sélection de ses intermédiaires et met en œuvre la présente procédure décrivant le principe de sélection de ses intermédiaires.</w:t>
      </w:r>
    </w:p>
    <w:p w14:paraId="6B7C3010" w14:textId="3ADED383" w:rsidR="00147E6F" w:rsidRDefault="001077E6" w:rsidP="006C0CEE">
      <w:pPr>
        <w:jc w:val="both"/>
        <w:rPr>
          <w:rFonts w:ascii="Calibri" w:eastAsia="Calibri" w:hAnsi="Calibri" w:cs="Calibri"/>
        </w:rPr>
      </w:pPr>
      <w:r>
        <w:rPr>
          <w:rFonts w:ascii="Calibri" w:eastAsia="Calibri" w:hAnsi="Calibri" w:cs="Calibri"/>
        </w:rPr>
        <w:t>En revanche, NORTIA INVEST</w:t>
      </w:r>
      <w:r w:rsidR="00147E6F" w:rsidRPr="00147E6F">
        <w:rPr>
          <w:rFonts w:ascii="Calibri" w:eastAsia="Calibri" w:hAnsi="Calibri" w:cs="Calibri"/>
        </w:rPr>
        <w:t xml:space="preserve"> n’est pas membre des marchés et n’exécute pas elle-même sur les marchés financiers les ordres qu’elle émet.</w:t>
      </w:r>
    </w:p>
    <w:p w14:paraId="488C65F8" w14:textId="0A807AF3" w:rsidR="00147E6F" w:rsidRDefault="00147E6F" w:rsidP="006C0CEE">
      <w:pPr>
        <w:jc w:val="both"/>
        <w:rPr>
          <w:rFonts w:ascii="Calibri" w:eastAsia="Calibri" w:hAnsi="Calibri" w:cs="Calibri"/>
        </w:rPr>
      </w:pPr>
      <w:r w:rsidRPr="00147E6F">
        <w:rPr>
          <w:rFonts w:ascii="Calibri" w:eastAsia="Calibri" w:hAnsi="Calibri" w:cs="Calibri"/>
        </w:rPr>
        <w:t xml:space="preserve">Elle les transmet </w:t>
      </w:r>
      <w:r w:rsidR="00494DC9">
        <w:rPr>
          <w:rFonts w:ascii="Calibri" w:eastAsia="Calibri" w:hAnsi="Calibri" w:cs="Calibri"/>
        </w:rPr>
        <w:t>donc,</w:t>
      </w:r>
      <w:r w:rsidR="00494DC9" w:rsidRPr="00147E6F">
        <w:rPr>
          <w:rFonts w:ascii="Calibri" w:eastAsia="Calibri" w:hAnsi="Calibri" w:cs="Calibri"/>
        </w:rPr>
        <w:t xml:space="preserve"> </w:t>
      </w:r>
      <w:r w:rsidRPr="00147E6F">
        <w:rPr>
          <w:rFonts w:ascii="Calibri" w:eastAsia="Calibri" w:hAnsi="Calibri" w:cs="Calibri"/>
        </w:rPr>
        <w:t>à un intermédiaire</w:t>
      </w:r>
      <w:r>
        <w:rPr>
          <w:rFonts w:ascii="Calibri" w:eastAsia="Calibri" w:hAnsi="Calibri" w:cs="Calibri"/>
        </w:rPr>
        <w:t xml:space="preserve">, </w:t>
      </w:r>
      <w:r w:rsidR="00494DC9">
        <w:rPr>
          <w:rFonts w:ascii="Calibri" w:eastAsia="Calibri" w:hAnsi="Calibri" w:cs="Calibri"/>
        </w:rPr>
        <w:t xml:space="preserve">en l’occurrence </w:t>
      </w:r>
      <w:r w:rsidRPr="00147E6F">
        <w:rPr>
          <w:rFonts w:ascii="Calibri" w:eastAsia="Calibri" w:hAnsi="Calibri" w:cs="Calibri"/>
        </w:rPr>
        <w:t>C</w:t>
      </w:r>
      <w:r w:rsidR="006C0CEE">
        <w:rPr>
          <w:rFonts w:ascii="Calibri" w:eastAsia="Calibri" w:hAnsi="Calibri" w:cs="Calibri"/>
        </w:rPr>
        <w:t xml:space="preserve">rédit </w:t>
      </w:r>
      <w:r w:rsidRPr="00147E6F">
        <w:rPr>
          <w:rFonts w:ascii="Calibri" w:eastAsia="Calibri" w:hAnsi="Calibri" w:cs="Calibri"/>
        </w:rPr>
        <w:t>A</w:t>
      </w:r>
      <w:r w:rsidR="006C0CEE">
        <w:rPr>
          <w:rFonts w:ascii="Calibri" w:eastAsia="Calibri" w:hAnsi="Calibri" w:cs="Calibri"/>
        </w:rPr>
        <w:t xml:space="preserve">gricole </w:t>
      </w:r>
      <w:r w:rsidRPr="00147E6F">
        <w:rPr>
          <w:rFonts w:ascii="Calibri" w:eastAsia="Calibri" w:hAnsi="Calibri" w:cs="Calibri"/>
        </w:rPr>
        <w:t>T</w:t>
      </w:r>
      <w:r w:rsidR="006C0CEE">
        <w:rPr>
          <w:rFonts w:ascii="Calibri" w:eastAsia="Calibri" w:hAnsi="Calibri" w:cs="Calibri"/>
        </w:rPr>
        <w:t>itre</w:t>
      </w:r>
      <w:r w:rsidR="004511FB">
        <w:rPr>
          <w:rFonts w:ascii="Calibri" w:eastAsia="Calibri" w:hAnsi="Calibri" w:cs="Calibri"/>
        </w:rPr>
        <w:t>s</w:t>
      </w:r>
      <w:r w:rsidRPr="00147E6F">
        <w:rPr>
          <w:rFonts w:ascii="Calibri" w:eastAsia="Calibri" w:hAnsi="Calibri" w:cs="Calibri"/>
        </w:rPr>
        <w:t xml:space="preserve"> (notre Teneur de Compte Conservateur) </w:t>
      </w:r>
      <w:r>
        <w:rPr>
          <w:rFonts w:ascii="Calibri" w:eastAsia="Calibri" w:hAnsi="Calibri" w:cs="Calibri"/>
        </w:rPr>
        <w:t xml:space="preserve">qui </w:t>
      </w:r>
      <w:r w:rsidRPr="00147E6F">
        <w:rPr>
          <w:rFonts w:ascii="Calibri" w:eastAsia="Calibri" w:hAnsi="Calibri" w:cs="Calibri"/>
        </w:rPr>
        <w:t>est agréé pour les services de R</w:t>
      </w:r>
      <w:r w:rsidR="006C0CEE">
        <w:rPr>
          <w:rFonts w:ascii="Calibri" w:eastAsia="Calibri" w:hAnsi="Calibri" w:cs="Calibri"/>
        </w:rPr>
        <w:t xml:space="preserve">éception et </w:t>
      </w:r>
      <w:r w:rsidRPr="00147E6F">
        <w:rPr>
          <w:rFonts w:ascii="Calibri" w:eastAsia="Calibri" w:hAnsi="Calibri" w:cs="Calibri"/>
        </w:rPr>
        <w:t>T</w:t>
      </w:r>
      <w:r w:rsidR="006C0CEE">
        <w:rPr>
          <w:rFonts w:ascii="Calibri" w:eastAsia="Calibri" w:hAnsi="Calibri" w:cs="Calibri"/>
        </w:rPr>
        <w:t>ransmission d’</w:t>
      </w:r>
      <w:r w:rsidRPr="00147E6F">
        <w:rPr>
          <w:rFonts w:ascii="Calibri" w:eastAsia="Calibri" w:hAnsi="Calibri" w:cs="Calibri"/>
        </w:rPr>
        <w:t>O</w:t>
      </w:r>
      <w:r w:rsidR="006C0CEE">
        <w:rPr>
          <w:rFonts w:ascii="Calibri" w:eastAsia="Calibri" w:hAnsi="Calibri" w:cs="Calibri"/>
        </w:rPr>
        <w:t>rdres (RTO)</w:t>
      </w:r>
      <w:r w:rsidRPr="00147E6F">
        <w:rPr>
          <w:rFonts w:ascii="Calibri" w:eastAsia="Calibri" w:hAnsi="Calibri" w:cs="Calibri"/>
        </w:rPr>
        <w:t xml:space="preserve"> et d’exécution des ordres. </w:t>
      </w:r>
    </w:p>
    <w:p w14:paraId="3C54F1B8" w14:textId="7DF96C27" w:rsidR="00147E6F" w:rsidRDefault="007F1AD2" w:rsidP="00CB21D6">
      <w:pPr>
        <w:pStyle w:val="Default"/>
        <w:jc w:val="both"/>
        <w:rPr>
          <w:rFonts w:asciiTheme="minorHAnsi" w:hAnsiTheme="minorHAnsi" w:cstheme="minorHAnsi"/>
          <w:sz w:val="22"/>
          <w:szCs w:val="22"/>
        </w:rPr>
      </w:pPr>
      <w:r>
        <w:rPr>
          <w:rFonts w:asciiTheme="minorHAnsi" w:hAnsiTheme="minorHAnsi" w:cstheme="minorHAnsi"/>
          <w:sz w:val="22"/>
          <w:szCs w:val="22"/>
        </w:rPr>
        <w:t>C</w:t>
      </w:r>
      <w:r w:rsidR="006C0CEE">
        <w:rPr>
          <w:rFonts w:asciiTheme="minorHAnsi" w:hAnsiTheme="minorHAnsi" w:cstheme="minorHAnsi"/>
          <w:sz w:val="22"/>
          <w:szCs w:val="22"/>
        </w:rPr>
        <w:t xml:space="preserve">rédit </w:t>
      </w:r>
      <w:r>
        <w:rPr>
          <w:rFonts w:asciiTheme="minorHAnsi" w:hAnsiTheme="minorHAnsi" w:cstheme="minorHAnsi"/>
          <w:sz w:val="22"/>
          <w:szCs w:val="22"/>
        </w:rPr>
        <w:t>A</w:t>
      </w:r>
      <w:r w:rsidR="006C0CEE">
        <w:rPr>
          <w:rFonts w:asciiTheme="minorHAnsi" w:hAnsiTheme="minorHAnsi" w:cstheme="minorHAnsi"/>
          <w:sz w:val="22"/>
          <w:szCs w:val="22"/>
        </w:rPr>
        <w:t xml:space="preserve">gricole </w:t>
      </w:r>
      <w:r>
        <w:rPr>
          <w:rFonts w:asciiTheme="minorHAnsi" w:hAnsiTheme="minorHAnsi" w:cstheme="minorHAnsi"/>
          <w:sz w:val="22"/>
          <w:szCs w:val="22"/>
        </w:rPr>
        <w:t>T</w:t>
      </w:r>
      <w:r w:rsidR="006C0CEE">
        <w:rPr>
          <w:rFonts w:asciiTheme="minorHAnsi" w:hAnsiTheme="minorHAnsi" w:cstheme="minorHAnsi"/>
          <w:sz w:val="22"/>
          <w:szCs w:val="22"/>
        </w:rPr>
        <w:t>itres</w:t>
      </w:r>
      <w:r>
        <w:rPr>
          <w:rFonts w:asciiTheme="minorHAnsi" w:hAnsiTheme="minorHAnsi" w:cstheme="minorHAnsi"/>
          <w:sz w:val="22"/>
          <w:szCs w:val="22"/>
        </w:rPr>
        <w:t>,</w:t>
      </w:r>
      <w:r w:rsidR="00147E6F">
        <w:rPr>
          <w:rFonts w:asciiTheme="minorHAnsi" w:hAnsiTheme="minorHAnsi" w:cstheme="minorHAnsi"/>
          <w:sz w:val="22"/>
          <w:szCs w:val="22"/>
        </w:rPr>
        <w:t xml:space="preserve"> T</w:t>
      </w:r>
      <w:r w:rsidR="006C0CEE">
        <w:rPr>
          <w:rFonts w:asciiTheme="minorHAnsi" w:hAnsiTheme="minorHAnsi" w:cstheme="minorHAnsi"/>
          <w:sz w:val="22"/>
          <w:szCs w:val="22"/>
        </w:rPr>
        <w:t>C</w:t>
      </w:r>
      <w:r w:rsidR="00147E6F">
        <w:rPr>
          <w:rFonts w:asciiTheme="minorHAnsi" w:hAnsiTheme="minorHAnsi" w:cstheme="minorHAnsi"/>
          <w:sz w:val="22"/>
          <w:szCs w:val="22"/>
        </w:rPr>
        <w:t>C de NORTIA INVEST, a été retenu selon des critères de s</w:t>
      </w:r>
      <w:r w:rsidR="00147E6F" w:rsidRPr="00781375">
        <w:rPr>
          <w:rFonts w:asciiTheme="minorHAnsi" w:hAnsiTheme="minorHAnsi" w:cstheme="minorHAnsi"/>
          <w:sz w:val="22"/>
          <w:szCs w:val="22"/>
        </w:rPr>
        <w:t xml:space="preserve">élection et </w:t>
      </w:r>
      <w:r w:rsidR="00147E6F">
        <w:rPr>
          <w:rFonts w:asciiTheme="minorHAnsi" w:hAnsiTheme="minorHAnsi" w:cstheme="minorHAnsi"/>
          <w:sz w:val="22"/>
          <w:szCs w:val="22"/>
        </w:rPr>
        <w:t>d’</w:t>
      </w:r>
      <w:r w:rsidR="00147E6F" w:rsidRPr="00781375">
        <w:rPr>
          <w:rFonts w:asciiTheme="minorHAnsi" w:hAnsiTheme="minorHAnsi" w:cstheme="minorHAnsi"/>
          <w:sz w:val="22"/>
          <w:szCs w:val="22"/>
        </w:rPr>
        <w:t xml:space="preserve">évaluation </w:t>
      </w:r>
      <w:r w:rsidR="00147E6F">
        <w:rPr>
          <w:rFonts w:asciiTheme="minorHAnsi" w:hAnsiTheme="minorHAnsi" w:cstheme="minorHAnsi"/>
          <w:sz w:val="22"/>
          <w:szCs w:val="22"/>
        </w:rPr>
        <w:t>listées ci-dessous :</w:t>
      </w:r>
    </w:p>
    <w:p w14:paraId="4F28A476" w14:textId="77777777" w:rsidR="00147E6F" w:rsidRPr="00781375" w:rsidRDefault="00147E6F" w:rsidP="00CB21D6">
      <w:pPr>
        <w:pStyle w:val="Default"/>
        <w:jc w:val="both"/>
        <w:rPr>
          <w:rFonts w:asciiTheme="minorHAnsi" w:hAnsiTheme="minorHAnsi" w:cstheme="minorHAnsi"/>
          <w:sz w:val="22"/>
          <w:szCs w:val="22"/>
        </w:rPr>
      </w:pPr>
    </w:p>
    <w:p w14:paraId="7A815F44" w14:textId="77777777" w:rsidR="00147E6F" w:rsidRPr="00781375" w:rsidRDefault="00147E6F" w:rsidP="00CB21D6">
      <w:pPr>
        <w:pStyle w:val="Default"/>
        <w:jc w:val="both"/>
        <w:rPr>
          <w:rFonts w:asciiTheme="minorHAnsi" w:hAnsiTheme="minorHAnsi" w:cstheme="minorHAnsi"/>
          <w:sz w:val="22"/>
          <w:szCs w:val="22"/>
        </w:rPr>
      </w:pPr>
      <w:r w:rsidRPr="00781375">
        <w:rPr>
          <w:rFonts w:asciiTheme="minorHAnsi" w:hAnsiTheme="minorHAnsi" w:cstheme="minorHAnsi"/>
          <w:sz w:val="22"/>
          <w:szCs w:val="22"/>
        </w:rPr>
        <w:t>. Prise en compte du cadre règlementaire imposé</w:t>
      </w:r>
    </w:p>
    <w:p w14:paraId="5030AD16" w14:textId="77777777" w:rsidR="00147E6F" w:rsidRPr="00781375" w:rsidRDefault="00147E6F" w:rsidP="00CB21D6">
      <w:pPr>
        <w:pStyle w:val="Default"/>
        <w:jc w:val="both"/>
        <w:rPr>
          <w:rFonts w:asciiTheme="minorHAnsi" w:hAnsiTheme="minorHAnsi" w:cstheme="minorHAnsi"/>
          <w:sz w:val="22"/>
          <w:szCs w:val="22"/>
        </w:rPr>
      </w:pPr>
      <w:r w:rsidRPr="00781375">
        <w:rPr>
          <w:rFonts w:asciiTheme="minorHAnsi" w:hAnsiTheme="minorHAnsi" w:cstheme="minorHAnsi"/>
          <w:sz w:val="22"/>
          <w:szCs w:val="22"/>
        </w:rPr>
        <w:t>. Efficacité de traitement</w:t>
      </w:r>
    </w:p>
    <w:p w14:paraId="766D08B8" w14:textId="77777777" w:rsidR="00147E6F" w:rsidRPr="00781375" w:rsidRDefault="00147E6F" w:rsidP="00CB21D6">
      <w:pPr>
        <w:pStyle w:val="Default"/>
        <w:jc w:val="both"/>
        <w:rPr>
          <w:rFonts w:asciiTheme="minorHAnsi" w:hAnsiTheme="minorHAnsi" w:cstheme="minorHAnsi"/>
          <w:sz w:val="22"/>
          <w:szCs w:val="22"/>
        </w:rPr>
      </w:pPr>
      <w:r w:rsidRPr="00781375">
        <w:rPr>
          <w:rFonts w:asciiTheme="minorHAnsi" w:hAnsiTheme="minorHAnsi" w:cstheme="minorHAnsi"/>
          <w:sz w:val="22"/>
          <w:szCs w:val="22"/>
        </w:rPr>
        <w:t>. Prix</w:t>
      </w:r>
    </w:p>
    <w:p w14:paraId="4FF471FB" w14:textId="77777777" w:rsidR="00147E6F" w:rsidRPr="00781375" w:rsidRDefault="00147E6F" w:rsidP="00CB21D6">
      <w:pPr>
        <w:pStyle w:val="Default"/>
        <w:jc w:val="both"/>
        <w:rPr>
          <w:rFonts w:asciiTheme="minorHAnsi" w:hAnsiTheme="minorHAnsi" w:cstheme="minorHAnsi"/>
          <w:sz w:val="22"/>
          <w:szCs w:val="22"/>
        </w:rPr>
      </w:pPr>
      <w:r w:rsidRPr="00781375">
        <w:rPr>
          <w:rFonts w:asciiTheme="minorHAnsi" w:hAnsiTheme="minorHAnsi" w:cstheme="minorHAnsi"/>
          <w:sz w:val="22"/>
          <w:szCs w:val="22"/>
        </w:rPr>
        <w:t>. Couverture globale des marchés et rapidité</w:t>
      </w:r>
      <w:r>
        <w:rPr>
          <w:rFonts w:asciiTheme="minorHAnsi" w:hAnsiTheme="minorHAnsi" w:cstheme="minorHAnsi"/>
          <w:sz w:val="22"/>
          <w:szCs w:val="22"/>
        </w:rPr>
        <w:t xml:space="preserve"> </w:t>
      </w:r>
      <w:r w:rsidRPr="00781375">
        <w:rPr>
          <w:rFonts w:asciiTheme="minorHAnsi" w:hAnsiTheme="minorHAnsi" w:cstheme="minorHAnsi"/>
          <w:sz w:val="22"/>
          <w:szCs w:val="22"/>
        </w:rPr>
        <w:t>d’exécution</w:t>
      </w:r>
    </w:p>
    <w:p w14:paraId="6FC57CD4" w14:textId="77777777" w:rsidR="00147E6F" w:rsidRPr="00781375" w:rsidRDefault="00147E6F" w:rsidP="00CB21D6">
      <w:pPr>
        <w:pStyle w:val="Default"/>
        <w:jc w:val="both"/>
        <w:rPr>
          <w:rFonts w:asciiTheme="minorHAnsi" w:hAnsiTheme="minorHAnsi" w:cstheme="minorHAnsi"/>
          <w:sz w:val="22"/>
          <w:szCs w:val="22"/>
        </w:rPr>
      </w:pPr>
      <w:r w:rsidRPr="00781375">
        <w:rPr>
          <w:rFonts w:asciiTheme="minorHAnsi" w:hAnsiTheme="minorHAnsi" w:cstheme="minorHAnsi"/>
          <w:sz w:val="22"/>
          <w:szCs w:val="22"/>
        </w:rPr>
        <w:t>. Connectivité et sécurité des flux d’informations</w:t>
      </w:r>
    </w:p>
    <w:p w14:paraId="0652B845" w14:textId="77777777" w:rsidR="00147E6F" w:rsidRPr="00781375" w:rsidRDefault="00147E6F" w:rsidP="00CB21D6">
      <w:pPr>
        <w:pStyle w:val="Default"/>
        <w:jc w:val="both"/>
        <w:rPr>
          <w:rFonts w:asciiTheme="minorHAnsi" w:hAnsiTheme="minorHAnsi" w:cstheme="minorHAnsi"/>
          <w:sz w:val="22"/>
          <w:szCs w:val="22"/>
        </w:rPr>
      </w:pPr>
      <w:r w:rsidRPr="00781375">
        <w:rPr>
          <w:rFonts w:asciiTheme="minorHAnsi" w:hAnsiTheme="minorHAnsi" w:cstheme="minorHAnsi"/>
          <w:sz w:val="22"/>
          <w:szCs w:val="22"/>
        </w:rPr>
        <w:t>. Qualité des supports post marché</w:t>
      </w:r>
    </w:p>
    <w:p w14:paraId="2E73EE3B" w14:textId="2C6A7C78" w:rsidR="00147E6F" w:rsidRPr="00781375" w:rsidRDefault="00147E6F" w:rsidP="00CB21D6">
      <w:pPr>
        <w:pStyle w:val="Default"/>
        <w:jc w:val="both"/>
        <w:rPr>
          <w:rFonts w:asciiTheme="minorHAnsi" w:hAnsiTheme="minorHAnsi" w:cstheme="minorHAnsi"/>
          <w:sz w:val="22"/>
          <w:szCs w:val="22"/>
        </w:rPr>
      </w:pPr>
      <w:r w:rsidRPr="00781375">
        <w:rPr>
          <w:rFonts w:asciiTheme="minorHAnsi" w:hAnsiTheme="minorHAnsi" w:cstheme="minorHAnsi"/>
          <w:sz w:val="22"/>
          <w:szCs w:val="22"/>
        </w:rPr>
        <w:t xml:space="preserve">. Fréquence et contenu des </w:t>
      </w:r>
      <w:proofErr w:type="spellStart"/>
      <w:r w:rsidR="008C196A">
        <w:rPr>
          <w:rFonts w:asciiTheme="minorHAnsi" w:hAnsiTheme="minorHAnsi" w:cstheme="minorHAnsi"/>
          <w:sz w:val="22"/>
          <w:szCs w:val="22"/>
        </w:rPr>
        <w:t>reportings</w:t>
      </w:r>
      <w:proofErr w:type="spellEnd"/>
    </w:p>
    <w:p w14:paraId="30872BFF" w14:textId="77777777" w:rsidR="00147E6F" w:rsidRDefault="00147E6F" w:rsidP="00CB21D6">
      <w:pPr>
        <w:spacing w:after="0"/>
        <w:jc w:val="both"/>
        <w:rPr>
          <w:rFonts w:cstheme="minorHAnsi"/>
        </w:rPr>
      </w:pPr>
      <w:r w:rsidRPr="00781375">
        <w:rPr>
          <w:rFonts w:cstheme="minorHAnsi"/>
        </w:rPr>
        <w:t>. Réactivité en cas d’implémentation de nouveaux mécanismes</w:t>
      </w:r>
    </w:p>
    <w:p w14:paraId="4CAF91F4" w14:textId="51D55219" w:rsidR="00147E6F" w:rsidRDefault="007F1AD2" w:rsidP="00CB21D6">
      <w:pPr>
        <w:pStyle w:val="Default"/>
        <w:jc w:val="both"/>
        <w:rPr>
          <w:sz w:val="22"/>
          <w:szCs w:val="22"/>
        </w:rPr>
      </w:pPr>
      <w:r>
        <w:rPr>
          <w:sz w:val="22"/>
          <w:szCs w:val="22"/>
        </w:rPr>
        <w:t>. Offrir des garanties de nature réputationnelle</w:t>
      </w:r>
      <w:r w:rsidR="00147E6F">
        <w:rPr>
          <w:sz w:val="22"/>
          <w:szCs w:val="22"/>
        </w:rPr>
        <w:t xml:space="preserve"> </w:t>
      </w:r>
    </w:p>
    <w:p w14:paraId="067F1FF3" w14:textId="53B79EEE" w:rsidR="00147E6F" w:rsidRDefault="007F1AD2" w:rsidP="00CB21D6">
      <w:pPr>
        <w:spacing w:after="0"/>
        <w:jc w:val="both"/>
      </w:pPr>
      <w:r>
        <w:t>.</w:t>
      </w:r>
      <w:r w:rsidR="00147E6F">
        <w:t xml:space="preserve"> Contractualiser la relation dans des termes validés par NORTIA INVEST</w:t>
      </w:r>
    </w:p>
    <w:p w14:paraId="5D3A1F31" w14:textId="65C7E64B" w:rsidR="00147E6F" w:rsidRDefault="00147E6F" w:rsidP="006C0CEE">
      <w:pPr>
        <w:jc w:val="both"/>
        <w:rPr>
          <w:rFonts w:ascii="Calibri" w:eastAsia="Calibri" w:hAnsi="Calibri" w:cs="Calibri"/>
        </w:rPr>
      </w:pPr>
    </w:p>
    <w:p w14:paraId="55EC93C6" w14:textId="2BC0F41A" w:rsidR="005E1EDB" w:rsidRDefault="00BC72B9" w:rsidP="004511FB">
      <w:pPr>
        <w:jc w:val="both"/>
        <w:rPr>
          <w:rFonts w:ascii="Calibri" w:eastAsia="Calibri" w:hAnsi="Calibri" w:cs="Calibri"/>
        </w:rPr>
      </w:pPr>
      <w:r>
        <w:lastRenderedPageBreak/>
        <w:t>La publication annuelle sur la qualité d’</w:t>
      </w:r>
      <w:r w:rsidR="005E1EDB">
        <w:t>exécution</w:t>
      </w:r>
      <w:r>
        <w:t xml:space="preserve"> obtenue au titre du service de réception et transmission d’ordres de C</w:t>
      </w:r>
      <w:r w:rsidR="001077E6">
        <w:t xml:space="preserve">rédit </w:t>
      </w:r>
      <w:r>
        <w:t>A</w:t>
      </w:r>
      <w:r w:rsidR="001077E6">
        <w:t xml:space="preserve">gricole </w:t>
      </w:r>
      <w:r>
        <w:t>T</w:t>
      </w:r>
      <w:r w:rsidR="001077E6">
        <w:t>itres</w:t>
      </w:r>
      <w:r>
        <w:t xml:space="preserve"> </w:t>
      </w:r>
      <w:r w:rsidR="005E1EDB">
        <w:t>ainsi que la</w:t>
      </w:r>
      <w:r w:rsidR="005E1EDB">
        <w:rPr>
          <w:rFonts w:ascii="Calibri" w:eastAsia="Calibri" w:hAnsi="Calibri" w:cs="Calibri"/>
        </w:rPr>
        <w:t xml:space="preserve"> politique de meilleure sélection de C</w:t>
      </w:r>
      <w:r w:rsidR="001077E6">
        <w:rPr>
          <w:rFonts w:ascii="Calibri" w:eastAsia="Calibri" w:hAnsi="Calibri" w:cs="Calibri"/>
        </w:rPr>
        <w:t xml:space="preserve">rédit </w:t>
      </w:r>
      <w:r w:rsidR="005E1EDB">
        <w:rPr>
          <w:rFonts w:ascii="Calibri" w:eastAsia="Calibri" w:hAnsi="Calibri" w:cs="Calibri"/>
        </w:rPr>
        <w:t>A</w:t>
      </w:r>
      <w:r w:rsidR="001077E6">
        <w:rPr>
          <w:rFonts w:ascii="Calibri" w:eastAsia="Calibri" w:hAnsi="Calibri" w:cs="Calibri"/>
        </w:rPr>
        <w:t xml:space="preserve">gricole </w:t>
      </w:r>
      <w:r w:rsidR="005E1EDB">
        <w:rPr>
          <w:rFonts w:ascii="Calibri" w:eastAsia="Calibri" w:hAnsi="Calibri" w:cs="Calibri"/>
        </w:rPr>
        <w:t>T</w:t>
      </w:r>
      <w:r w:rsidR="001077E6">
        <w:rPr>
          <w:rFonts w:ascii="Calibri" w:eastAsia="Calibri" w:hAnsi="Calibri" w:cs="Calibri"/>
        </w:rPr>
        <w:t>itres</w:t>
      </w:r>
      <w:r w:rsidR="005E1EDB">
        <w:rPr>
          <w:rFonts w:ascii="Calibri" w:eastAsia="Calibri" w:hAnsi="Calibri" w:cs="Calibri"/>
        </w:rPr>
        <w:t xml:space="preserve"> reprise ci-dessous – </w:t>
      </w:r>
      <w:r w:rsidR="008C196A">
        <w:rPr>
          <w:rFonts w:ascii="Calibri" w:eastAsia="Calibri" w:hAnsi="Calibri" w:cs="Calibri"/>
        </w:rPr>
        <w:t>« </w:t>
      </w:r>
      <w:r w:rsidR="005E1EDB">
        <w:rPr>
          <w:rFonts w:ascii="Calibri" w:eastAsia="Calibri" w:hAnsi="Calibri" w:cs="Calibri"/>
        </w:rPr>
        <w:t>PDF version 06/2021</w:t>
      </w:r>
      <w:r w:rsidR="008C196A">
        <w:rPr>
          <w:rFonts w:ascii="Calibri" w:eastAsia="Calibri" w:hAnsi="Calibri" w:cs="Calibri"/>
        </w:rPr>
        <w:t xml:space="preserve"> » - </w:t>
      </w:r>
      <w:r w:rsidR="005E1EDB">
        <w:rPr>
          <w:rFonts w:ascii="Calibri" w:eastAsia="Calibri" w:hAnsi="Calibri" w:cs="Calibri"/>
        </w:rPr>
        <w:t xml:space="preserve">« Politique Meilleure </w:t>
      </w:r>
      <w:proofErr w:type="spellStart"/>
      <w:r w:rsidR="005E1EDB">
        <w:rPr>
          <w:rFonts w:ascii="Calibri" w:eastAsia="Calibri" w:hAnsi="Calibri" w:cs="Calibri"/>
        </w:rPr>
        <w:t>Selection</w:t>
      </w:r>
      <w:proofErr w:type="spellEnd"/>
      <w:r w:rsidR="005E1EDB">
        <w:rPr>
          <w:rFonts w:ascii="Calibri" w:eastAsia="Calibri" w:hAnsi="Calibri" w:cs="Calibri"/>
        </w:rPr>
        <w:t xml:space="preserve"> – MIF</w:t>
      </w:r>
      <w:r w:rsidR="008C196A">
        <w:rPr>
          <w:rFonts w:ascii="Calibri" w:eastAsia="Calibri" w:hAnsi="Calibri" w:cs="Calibri"/>
        </w:rPr>
        <w:t> » – permettent</w:t>
      </w:r>
      <w:r w:rsidR="005E1EDB">
        <w:rPr>
          <w:rFonts w:ascii="Calibri" w:eastAsia="Calibri" w:hAnsi="Calibri" w:cs="Calibri"/>
        </w:rPr>
        <w:t xml:space="preserve"> à NORTIA INVEST de valider ses critères de sélection et d’évaluation retenues pour la</w:t>
      </w:r>
      <w:r w:rsidR="008C196A">
        <w:rPr>
          <w:rFonts w:ascii="Calibri" w:eastAsia="Calibri" w:hAnsi="Calibri" w:cs="Calibri"/>
        </w:rPr>
        <w:t xml:space="preserve"> </w:t>
      </w:r>
      <w:r w:rsidR="005E1EDB">
        <w:rPr>
          <w:rFonts w:ascii="Calibri" w:eastAsia="Calibri" w:hAnsi="Calibri" w:cs="Calibri"/>
        </w:rPr>
        <w:t>sélection de C</w:t>
      </w:r>
      <w:r w:rsidR="001077E6">
        <w:rPr>
          <w:rFonts w:ascii="Calibri" w:eastAsia="Calibri" w:hAnsi="Calibri" w:cs="Calibri"/>
        </w:rPr>
        <w:t xml:space="preserve">rédit </w:t>
      </w:r>
      <w:r w:rsidR="005E1EDB">
        <w:rPr>
          <w:rFonts w:ascii="Calibri" w:eastAsia="Calibri" w:hAnsi="Calibri" w:cs="Calibri"/>
        </w:rPr>
        <w:t>A</w:t>
      </w:r>
      <w:r w:rsidR="001077E6">
        <w:rPr>
          <w:rFonts w:ascii="Calibri" w:eastAsia="Calibri" w:hAnsi="Calibri" w:cs="Calibri"/>
        </w:rPr>
        <w:t xml:space="preserve">gricole </w:t>
      </w:r>
      <w:r w:rsidR="005E1EDB">
        <w:rPr>
          <w:rFonts w:ascii="Calibri" w:eastAsia="Calibri" w:hAnsi="Calibri" w:cs="Calibri"/>
        </w:rPr>
        <w:t>T</w:t>
      </w:r>
      <w:r w:rsidR="001077E6">
        <w:rPr>
          <w:rFonts w:ascii="Calibri" w:eastAsia="Calibri" w:hAnsi="Calibri" w:cs="Calibri"/>
        </w:rPr>
        <w:t>itres</w:t>
      </w:r>
      <w:r w:rsidR="005E1EDB">
        <w:rPr>
          <w:rFonts w:ascii="Calibri" w:eastAsia="Calibri" w:hAnsi="Calibri" w:cs="Calibri"/>
        </w:rPr>
        <w:t xml:space="preserve">. </w:t>
      </w:r>
    </w:p>
    <w:p w14:paraId="5E261CD7" w14:textId="6FEDF336" w:rsidR="005E1EDB" w:rsidRDefault="005E1EDB" w:rsidP="00CB21D6">
      <w:pPr>
        <w:spacing w:after="0"/>
        <w:jc w:val="both"/>
      </w:pPr>
    </w:p>
    <w:p w14:paraId="4E39AFFD" w14:textId="4B3DE53A" w:rsidR="005E1EDB" w:rsidRDefault="005E1EDB" w:rsidP="00CB21D6">
      <w:pPr>
        <w:spacing w:after="0"/>
        <w:jc w:val="both"/>
      </w:pPr>
      <w:r>
        <w:t>C</w:t>
      </w:r>
      <w:r w:rsidR="001077E6">
        <w:t xml:space="preserve">rédit </w:t>
      </w:r>
      <w:r>
        <w:t>A</w:t>
      </w:r>
      <w:r w:rsidR="001077E6">
        <w:t xml:space="preserve">gricole </w:t>
      </w:r>
      <w:r>
        <w:t>T</w:t>
      </w:r>
      <w:r w:rsidR="001077E6">
        <w:t>itres</w:t>
      </w:r>
      <w:r>
        <w:t xml:space="preserve"> s’engage à fournir à NORTIA INVEST, chaque année, son document de publication annuelle sur la qualité d’exécution obtenue au titre du service de réception et transmission d’ordres, publié également sur le site internet de NORTIA INVEST</w:t>
      </w:r>
      <w:r w:rsidR="008C196A">
        <w:t> : (</w:t>
      </w:r>
      <w:proofErr w:type="spellStart"/>
      <w:r w:rsidR="008C196A">
        <w:t>Reporting</w:t>
      </w:r>
      <w:proofErr w:type="spellEnd"/>
      <w:r>
        <w:t xml:space="preserve"> RTS 28).</w:t>
      </w:r>
    </w:p>
    <w:p w14:paraId="28AAA849" w14:textId="63F3A455" w:rsidR="0045588D" w:rsidRDefault="0045588D" w:rsidP="006C0CEE">
      <w:pPr>
        <w:spacing w:after="0"/>
        <w:jc w:val="both"/>
      </w:pPr>
      <w:r>
        <w:t xml:space="preserve">Les clients de </w:t>
      </w:r>
      <w:r w:rsidR="00600096">
        <w:t>NORTIA INVEST</w:t>
      </w:r>
      <w:r>
        <w:t xml:space="preserve"> sont informés du TCC à travers la convention de </w:t>
      </w:r>
      <w:r w:rsidR="003D4AFA">
        <w:t>service</w:t>
      </w:r>
      <w:r w:rsidR="005F350E">
        <w:t xml:space="preserve">s et d’ouverture de compte lorsqu’ils signent </w:t>
      </w:r>
      <w:r w:rsidR="00F32D4F">
        <w:t>un dossier d’ouverture de compte</w:t>
      </w:r>
      <w:r w:rsidR="00296F96">
        <w:t xml:space="preserve"> ainsi que</w:t>
      </w:r>
      <w:r w:rsidR="006D784C">
        <w:t xml:space="preserve"> dans</w:t>
      </w:r>
      <w:r w:rsidR="00296F96">
        <w:t xml:space="preserve"> </w:t>
      </w:r>
      <w:r w:rsidR="006D784C">
        <w:t xml:space="preserve">la convention de services et RTO. </w:t>
      </w:r>
      <w:r>
        <w:t xml:space="preserve"> </w:t>
      </w:r>
    </w:p>
    <w:p w14:paraId="3AFC9A70" w14:textId="162151CF" w:rsidR="00BC72B9" w:rsidRDefault="00BC72B9" w:rsidP="006C0CEE">
      <w:pPr>
        <w:jc w:val="both"/>
        <w:rPr>
          <w:rFonts w:ascii="Calibri" w:eastAsia="Calibri" w:hAnsi="Calibri" w:cs="Calibri"/>
        </w:rPr>
      </w:pPr>
    </w:p>
    <w:p w14:paraId="4B7202B8" w14:textId="630134CE" w:rsidR="00DF6461" w:rsidRPr="00494DC9" w:rsidRDefault="004F3D57" w:rsidP="00CB21D6">
      <w:pPr>
        <w:spacing w:after="0"/>
        <w:jc w:val="both"/>
      </w:pPr>
      <w:r>
        <w:t xml:space="preserve">De plus, à </w:t>
      </w:r>
      <w:r w:rsidRPr="00494DC9">
        <w:t>travers</w:t>
      </w:r>
      <w:r w:rsidR="00DF6461" w:rsidRPr="00494DC9">
        <w:t xml:space="preserve"> les contrôles de premier et second niveau, Nortia Invest s’assure que les instructions des clients correspondent à l’ordre exécuté à travers l’Avis d’opéré. </w:t>
      </w:r>
    </w:p>
    <w:p w14:paraId="00D1F6D3" w14:textId="77777777" w:rsidR="00DA379F" w:rsidRDefault="00DA379F" w:rsidP="00695D1A">
      <w:pPr>
        <w:spacing w:after="0" w:line="240" w:lineRule="auto"/>
        <w:jc w:val="both"/>
        <w:rPr>
          <w:rFonts w:ascii="Calibri" w:eastAsia="Calibri" w:hAnsi="Calibri" w:cs="Calibri"/>
        </w:rPr>
      </w:pPr>
    </w:p>
    <w:p w14:paraId="5421A1D6" w14:textId="45E33190" w:rsidR="00DA379F" w:rsidRPr="00695D1A" w:rsidRDefault="008C196A" w:rsidP="00695D1A">
      <w:pPr>
        <w:spacing w:after="0" w:line="240" w:lineRule="auto"/>
        <w:jc w:val="both"/>
        <w:rPr>
          <w:rFonts w:ascii="Calibri" w:eastAsia="Calibri" w:hAnsi="Calibri" w:cs="Calibri"/>
        </w:rPr>
      </w:pPr>
      <w:r>
        <w:rPr>
          <w:rFonts w:ascii="Calibri" w:eastAsia="Calibri" w:hAnsi="Calibri" w:cs="Calibri"/>
        </w:rPr>
        <w:t>Le document</w:t>
      </w:r>
      <w:r w:rsidR="00DA379F" w:rsidRPr="00DA379F">
        <w:rPr>
          <w:rFonts w:ascii="Calibri" w:eastAsia="Calibri" w:hAnsi="Calibri" w:cs="Calibri"/>
        </w:rPr>
        <w:t xml:space="preserve"> la politique de meilleure sélection de C</w:t>
      </w:r>
      <w:r w:rsidR="00847DF0">
        <w:rPr>
          <w:rFonts w:ascii="Calibri" w:eastAsia="Calibri" w:hAnsi="Calibri" w:cs="Calibri"/>
        </w:rPr>
        <w:t xml:space="preserve">rédit </w:t>
      </w:r>
      <w:r w:rsidR="00DA379F" w:rsidRPr="00DA379F">
        <w:rPr>
          <w:rFonts w:ascii="Calibri" w:eastAsia="Calibri" w:hAnsi="Calibri" w:cs="Calibri"/>
        </w:rPr>
        <w:t>A</w:t>
      </w:r>
      <w:r w:rsidR="00847DF0">
        <w:rPr>
          <w:rFonts w:ascii="Calibri" w:eastAsia="Calibri" w:hAnsi="Calibri" w:cs="Calibri"/>
        </w:rPr>
        <w:t xml:space="preserve">gricole </w:t>
      </w:r>
      <w:r w:rsidR="00DA379F" w:rsidRPr="00DA379F">
        <w:rPr>
          <w:rFonts w:ascii="Calibri" w:eastAsia="Calibri" w:hAnsi="Calibri" w:cs="Calibri"/>
        </w:rPr>
        <w:t>T</w:t>
      </w:r>
      <w:r w:rsidR="00847DF0">
        <w:rPr>
          <w:rFonts w:ascii="Calibri" w:eastAsia="Calibri" w:hAnsi="Calibri" w:cs="Calibri"/>
        </w:rPr>
        <w:t>itres</w:t>
      </w:r>
      <w:r w:rsidR="00D97882">
        <w:rPr>
          <w:rFonts w:ascii="Calibri" w:eastAsia="Calibri" w:hAnsi="Calibri" w:cs="Calibri"/>
        </w:rPr>
        <w:t xml:space="preserve"> </w:t>
      </w:r>
      <w:r>
        <w:rPr>
          <w:rFonts w:ascii="Calibri" w:eastAsia="Calibri" w:hAnsi="Calibri" w:cs="Calibri"/>
        </w:rPr>
        <w:t xml:space="preserve">est également </w:t>
      </w:r>
      <w:r w:rsidR="00D97882">
        <w:rPr>
          <w:rFonts w:ascii="Calibri" w:eastAsia="Calibri" w:hAnsi="Calibri" w:cs="Calibri"/>
        </w:rPr>
        <w:t xml:space="preserve">accessible sur leur site internet. </w:t>
      </w:r>
    </w:p>
    <w:p w14:paraId="4CD6C213" w14:textId="0CCD9A16" w:rsidR="000F3350" w:rsidRDefault="0001522C" w:rsidP="000F3350">
      <w:pPr>
        <w:spacing w:after="0"/>
      </w:pPr>
      <w:r>
        <w:object w:dxaOrig="1537" w:dyaOrig="997" w14:anchorId="0A9D35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AcroExch.Document.DC" ShapeID="_x0000_i1025" DrawAspect="Icon" ObjectID="_1694431657" r:id="rId9"/>
        </w:object>
      </w:r>
    </w:p>
    <w:p w14:paraId="649CE122" w14:textId="195F3FE3" w:rsidR="000F3350" w:rsidRDefault="00DF7130" w:rsidP="000F3350">
      <w:pPr>
        <w:spacing w:after="0"/>
      </w:pPr>
      <w:r>
        <w:t>(</w:t>
      </w:r>
      <w:r w:rsidR="00764FDF">
        <w:t>Version</w:t>
      </w:r>
      <w:r>
        <w:t xml:space="preserve"> 06/2021)</w:t>
      </w:r>
    </w:p>
    <w:p w14:paraId="7622B8D6" w14:textId="2D19CDA0" w:rsidR="008E1B59" w:rsidRDefault="008E1B59" w:rsidP="000F3350">
      <w:pPr>
        <w:spacing w:after="0"/>
      </w:pPr>
    </w:p>
    <w:p w14:paraId="51F22B8C" w14:textId="7F83B820" w:rsidR="008E1B59" w:rsidRDefault="008E1B59" w:rsidP="000F3350">
      <w:pPr>
        <w:spacing w:after="0"/>
      </w:pPr>
      <w:r>
        <w:t>C</w:t>
      </w:r>
      <w:r w:rsidR="00847DF0">
        <w:t xml:space="preserve">rédit </w:t>
      </w:r>
      <w:r>
        <w:t>A</w:t>
      </w:r>
      <w:r w:rsidR="00847DF0">
        <w:t xml:space="preserve">gricole </w:t>
      </w:r>
      <w:r>
        <w:t>T</w:t>
      </w:r>
      <w:r w:rsidR="00847DF0">
        <w:t>itres</w:t>
      </w:r>
      <w:r>
        <w:t xml:space="preserve"> revoit annuellement sa politique de meilleure sélection.</w:t>
      </w:r>
    </w:p>
    <w:p w14:paraId="72242D87" w14:textId="70F3966A" w:rsidR="00413A5B" w:rsidRDefault="00413A5B" w:rsidP="000F3350">
      <w:pPr>
        <w:spacing w:after="0"/>
      </w:pPr>
    </w:p>
    <w:p w14:paraId="1FB9410F" w14:textId="77777777" w:rsidR="005E1EDB" w:rsidRDefault="005E1EDB" w:rsidP="000F3350">
      <w:pPr>
        <w:spacing w:after="0"/>
      </w:pPr>
      <w:bookmarkStart w:id="2" w:name="_Hlk83218106"/>
    </w:p>
    <w:bookmarkEnd w:id="2"/>
    <w:p w14:paraId="78A607CB" w14:textId="1485F4A1" w:rsidR="00413A5B" w:rsidRDefault="00413A5B" w:rsidP="000F3350">
      <w:pPr>
        <w:spacing w:after="0"/>
        <w:rPr>
          <w:color w:val="FF0000"/>
        </w:rPr>
      </w:pPr>
    </w:p>
    <w:p w14:paraId="6A5D86A4" w14:textId="77777777" w:rsidR="00781375" w:rsidRPr="00781375" w:rsidRDefault="00781375" w:rsidP="00781375">
      <w:pPr>
        <w:spacing w:after="0"/>
        <w:rPr>
          <w:rFonts w:cstheme="minorHAnsi"/>
          <w:color w:val="FF0000"/>
        </w:rPr>
      </w:pPr>
    </w:p>
    <w:sectPr w:rsidR="00781375" w:rsidRPr="00781375" w:rsidSect="00C911E8">
      <w:headerReference w:type="default" r:id="rId10"/>
      <w:footerReference w:type="default" r:id="rId11"/>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AE709" w14:textId="77777777" w:rsidR="00DF73FD" w:rsidRDefault="00DF73FD" w:rsidP="005977EC">
      <w:pPr>
        <w:spacing w:after="0" w:line="240" w:lineRule="auto"/>
      </w:pPr>
      <w:r>
        <w:separator/>
      </w:r>
    </w:p>
  </w:endnote>
  <w:endnote w:type="continuationSeparator" w:id="0">
    <w:p w14:paraId="1FE158C6" w14:textId="77777777" w:rsidR="00DF73FD" w:rsidRDefault="00DF73FD" w:rsidP="0059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venir Heavy">
    <w:altName w:val="Calibri"/>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5007279"/>
      <w:docPartObj>
        <w:docPartGallery w:val="Page Numbers (Bottom of Page)"/>
        <w:docPartUnique/>
      </w:docPartObj>
    </w:sdtPr>
    <w:sdtEndPr/>
    <w:sdtContent>
      <w:p w14:paraId="7EE22D39" w14:textId="53F9800C" w:rsidR="009F076D" w:rsidRDefault="009F076D">
        <w:pPr>
          <w:pStyle w:val="Pieddepage"/>
          <w:jc w:val="right"/>
        </w:pPr>
        <w:r>
          <w:fldChar w:fldCharType="begin"/>
        </w:r>
        <w:r>
          <w:instrText>PAGE   \* MERGEFORMAT</w:instrText>
        </w:r>
        <w:r>
          <w:fldChar w:fldCharType="separate"/>
        </w:r>
        <w:r>
          <w:t>2</w:t>
        </w:r>
        <w:r>
          <w:fldChar w:fldCharType="end"/>
        </w:r>
      </w:p>
    </w:sdtContent>
  </w:sdt>
  <w:p w14:paraId="40ED8D76" w14:textId="77777777" w:rsidR="002B3F55" w:rsidRDefault="002B3F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8EC3B" w14:textId="77777777" w:rsidR="00DF73FD" w:rsidRDefault="00DF73FD" w:rsidP="005977EC">
      <w:pPr>
        <w:spacing w:after="0" w:line="240" w:lineRule="auto"/>
      </w:pPr>
      <w:r>
        <w:separator/>
      </w:r>
    </w:p>
  </w:footnote>
  <w:footnote w:type="continuationSeparator" w:id="0">
    <w:p w14:paraId="1B1400EF" w14:textId="77777777" w:rsidR="00DF73FD" w:rsidRDefault="00DF73FD" w:rsidP="00597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423B" w14:textId="42BD0058" w:rsidR="005977EC" w:rsidRDefault="005977EC">
    <w:pPr>
      <w:pStyle w:val="En-tte"/>
    </w:pPr>
    <w:r>
      <w:t xml:space="preserve">   </w:t>
    </w:r>
    <w:r w:rsidRPr="0032371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21A93"/>
    <w:multiLevelType w:val="hybridMultilevel"/>
    <w:tmpl w:val="920A2F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C603764"/>
    <w:multiLevelType w:val="multilevel"/>
    <w:tmpl w:val="8E8C3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620BF8"/>
    <w:multiLevelType w:val="hybridMultilevel"/>
    <w:tmpl w:val="9C9CA3F0"/>
    <w:lvl w:ilvl="0" w:tplc="CCDEDE34">
      <w:start w:val="1"/>
      <w:numFmt w:val="bullet"/>
      <w:lvlText w:val=""/>
      <w:lvlJc w:val="left"/>
      <w:pPr>
        <w:tabs>
          <w:tab w:val="num" w:pos="720"/>
        </w:tabs>
        <w:ind w:left="720" w:hanging="360"/>
      </w:pPr>
      <w:rPr>
        <w:rFonts w:ascii="Wingdings" w:hAnsi="Wingdings" w:hint="default"/>
      </w:rPr>
    </w:lvl>
    <w:lvl w:ilvl="1" w:tplc="338AC162">
      <w:start w:val="1"/>
      <w:numFmt w:val="bullet"/>
      <w:lvlText w:val=""/>
      <w:lvlJc w:val="left"/>
      <w:pPr>
        <w:tabs>
          <w:tab w:val="num" w:pos="1440"/>
        </w:tabs>
        <w:ind w:left="1440" w:hanging="360"/>
      </w:pPr>
      <w:rPr>
        <w:rFonts w:ascii="Wingdings" w:hAnsi="Wingdings" w:hint="default"/>
      </w:rPr>
    </w:lvl>
    <w:lvl w:ilvl="2" w:tplc="3DBA8A36" w:tentative="1">
      <w:start w:val="1"/>
      <w:numFmt w:val="bullet"/>
      <w:lvlText w:val=""/>
      <w:lvlJc w:val="left"/>
      <w:pPr>
        <w:tabs>
          <w:tab w:val="num" w:pos="2160"/>
        </w:tabs>
        <w:ind w:left="2160" w:hanging="360"/>
      </w:pPr>
      <w:rPr>
        <w:rFonts w:ascii="Wingdings" w:hAnsi="Wingdings" w:hint="default"/>
      </w:rPr>
    </w:lvl>
    <w:lvl w:ilvl="3" w:tplc="B44A1E0A" w:tentative="1">
      <w:start w:val="1"/>
      <w:numFmt w:val="bullet"/>
      <w:lvlText w:val=""/>
      <w:lvlJc w:val="left"/>
      <w:pPr>
        <w:tabs>
          <w:tab w:val="num" w:pos="2880"/>
        </w:tabs>
        <w:ind w:left="2880" w:hanging="360"/>
      </w:pPr>
      <w:rPr>
        <w:rFonts w:ascii="Wingdings" w:hAnsi="Wingdings" w:hint="default"/>
      </w:rPr>
    </w:lvl>
    <w:lvl w:ilvl="4" w:tplc="D340BCDE" w:tentative="1">
      <w:start w:val="1"/>
      <w:numFmt w:val="bullet"/>
      <w:lvlText w:val=""/>
      <w:lvlJc w:val="left"/>
      <w:pPr>
        <w:tabs>
          <w:tab w:val="num" w:pos="3600"/>
        </w:tabs>
        <w:ind w:left="3600" w:hanging="360"/>
      </w:pPr>
      <w:rPr>
        <w:rFonts w:ascii="Wingdings" w:hAnsi="Wingdings" w:hint="default"/>
      </w:rPr>
    </w:lvl>
    <w:lvl w:ilvl="5" w:tplc="34BEDBFE" w:tentative="1">
      <w:start w:val="1"/>
      <w:numFmt w:val="bullet"/>
      <w:lvlText w:val=""/>
      <w:lvlJc w:val="left"/>
      <w:pPr>
        <w:tabs>
          <w:tab w:val="num" w:pos="4320"/>
        </w:tabs>
        <w:ind w:left="4320" w:hanging="360"/>
      </w:pPr>
      <w:rPr>
        <w:rFonts w:ascii="Wingdings" w:hAnsi="Wingdings" w:hint="default"/>
      </w:rPr>
    </w:lvl>
    <w:lvl w:ilvl="6" w:tplc="6046B0AC" w:tentative="1">
      <w:start w:val="1"/>
      <w:numFmt w:val="bullet"/>
      <w:lvlText w:val=""/>
      <w:lvlJc w:val="left"/>
      <w:pPr>
        <w:tabs>
          <w:tab w:val="num" w:pos="5040"/>
        </w:tabs>
        <w:ind w:left="5040" w:hanging="360"/>
      </w:pPr>
      <w:rPr>
        <w:rFonts w:ascii="Wingdings" w:hAnsi="Wingdings" w:hint="default"/>
      </w:rPr>
    </w:lvl>
    <w:lvl w:ilvl="7" w:tplc="5508ADCA" w:tentative="1">
      <w:start w:val="1"/>
      <w:numFmt w:val="bullet"/>
      <w:lvlText w:val=""/>
      <w:lvlJc w:val="left"/>
      <w:pPr>
        <w:tabs>
          <w:tab w:val="num" w:pos="5760"/>
        </w:tabs>
        <w:ind w:left="5760" w:hanging="360"/>
      </w:pPr>
      <w:rPr>
        <w:rFonts w:ascii="Wingdings" w:hAnsi="Wingdings" w:hint="default"/>
      </w:rPr>
    </w:lvl>
    <w:lvl w:ilvl="8" w:tplc="AD9CB85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5F4E60"/>
    <w:multiLevelType w:val="multilevel"/>
    <w:tmpl w:val="04F6C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9041F2"/>
    <w:multiLevelType w:val="hybridMultilevel"/>
    <w:tmpl w:val="C84EE27A"/>
    <w:lvl w:ilvl="0" w:tplc="FEA49F4C">
      <w:start w:val="1"/>
      <w:numFmt w:val="decimal"/>
      <w:lvlText w:val="%1-"/>
      <w:lvlJc w:val="left"/>
      <w:pPr>
        <w:ind w:left="720" w:hanging="360"/>
      </w:pPr>
      <w:rPr>
        <w:rFonts w:asciiTheme="minorHAnsi" w:eastAsiaTheme="minorHAnsi" w:hAnsiTheme="minorHAnsi" w:cstheme="minorBidi"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D5576E"/>
    <w:multiLevelType w:val="hybridMultilevel"/>
    <w:tmpl w:val="E3F6FEAE"/>
    <w:lvl w:ilvl="0" w:tplc="040C000F">
      <w:start w:val="1"/>
      <w:numFmt w:val="decimal"/>
      <w:lvlText w:val="%1."/>
      <w:lvlJc w:val="left"/>
      <w:pPr>
        <w:ind w:left="720" w:hanging="360"/>
      </w:pPr>
      <w:rPr>
        <w:rFonts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D4F4F36"/>
    <w:multiLevelType w:val="hybridMultilevel"/>
    <w:tmpl w:val="24948A22"/>
    <w:lvl w:ilvl="0" w:tplc="E602648C">
      <w:start w:val="1"/>
      <w:numFmt w:val="bullet"/>
      <w:lvlText w:val=""/>
      <w:lvlJc w:val="left"/>
      <w:pPr>
        <w:tabs>
          <w:tab w:val="num" w:pos="720"/>
        </w:tabs>
        <w:ind w:left="720" w:hanging="360"/>
      </w:pPr>
      <w:rPr>
        <w:rFonts w:ascii="Wingdings" w:hAnsi="Wingdings" w:hint="default"/>
      </w:rPr>
    </w:lvl>
    <w:lvl w:ilvl="1" w:tplc="C28E7B00">
      <w:start w:val="1"/>
      <w:numFmt w:val="bullet"/>
      <w:lvlText w:val=""/>
      <w:lvlJc w:val="left"/>
      <w:pPr>
        <w:tabs>
          <w:tab w:val="num" w:pos="1440"/>
        </w:tabs>
        <w:ind w:left="1440" w:hanging="360"/>
      </w:pPr>
      <w:rPr>
        <w:rFonts w:ascii="Wingdings" w:hAnsi="Wingdings" w:hint="default"/>
      </w:rPr>
    </w:lvl>
    <w:lvl w:ilvl="2" w:tplc="17E03AC0" w:tentative="1">
      <w:start w:val="1"/>
      <w:numFmt w:val="bullet"/>
      <w:lvlText w:val=""/>
      <w:lvlJc w:val="left"/>
      <w:pPr>
        <w:tabs>
          <w:tab w:val="num" w:pos="2160"/>
        </w:tabs>
        <w:ind w:left="2160" w:hanging="360"/>
      </w:pPr>
      <w:rPr>
        <w:rFonts w:ascii="Wingdings" w:hAnsi="Wingdings" w:hint="default"/>
      </w:rPr>
    </w:lvl>
    <w:lvl w:ilvl="3" w:tplc="26A60BBA" w:tentative="1">
      <w:start w:val="1"/>
      <w:numFmt w:val="bullet"/>
      <w:lvlText w:val=""/>
      <w:lvlJc w:val="left"/>
      <w:pPr>
        <w:tabs>
          <w:tab w:val="num" w:pos="2880"/>
        </w:tabs>
        <w:ind w:left="2880" w:hanging="360"/>
      </w:pPr>
      <w:rPr>
        <w:rFonts w:ascii="Wingdings" w:hAnsi="Wingdings" w:hint="default"/>
      </w:rPr>
    </w:lvl>
    <w:lvl w:ilvl="4" w:tplc="4802C966" w:tentative="1">
      <w:start w:val="1"/>
      <w:numFmt w:val="bullet"/>
      <w:lvlText w:val=""/>
      <w:lvlJc w:val="left"/>
      <w:pPr>
        <w:tabs>
          <w:tab w:val="num" w:pos="3600"/>
        </w:tabs>
        <w:ind w:left="3600" w:hanging="360"/>
      </w:pPr>
      <w:rPr>
        <w:rFonts w:ascii="Wingdings" w:hAnsi="Wingdings" w:hint="default"/>
      </w:rPr>
    </w:lvl>
    <w:lvl w:ilvl="5" w:tplc="F050AEBC" w:tentative="1">
      <w:start w:val="1"/>
      <w:numFmt w:val="bullet"/>
      <w:lvlText w:val=""/>
      <w:lvlJc w:val="left"/>
      <w:pPr>
        <w:tabs>
          <w:tab w:val="num" w:pos="4320"/>
        </w:tabs>
        <w:ind w:left="4320" w:hanging="360"/>
      </w:pPr>
      <w:rPr>
        <w:rFonts w:ascii="Wingdings" w:hAnsi="Wingdings" w:hint="default"/>
      </w:rPr>
    </w:lvl>
    <w:lvl w:ilvl="6" w:tplc="E3DADD9A" w:tentative="1">
      <w:start w:val="1"/>
      <w:numFmt w:val="bullet"/>
      <w:lvlText w:val=""/>
      <w:lvlJc w:val="left"/>
      <w:pPr>
        <w:tabs>
          <w:tab w:val="num" w:pos="5040"/>
        </w:tabs>
        <w:ind w:left="5040" w:hanging="360"/>
      </w:pPr>
      <w:rPr>
        <w:rFonts w:ascii="Wingdings" w:hAnsi="Wingdings" w:hint="default"/>
      </w:rPr>
    </w:lvl>
    <w:lvl w:ilvl="7" w:tplc="0262CBDE" w:tentative="1">
      <w:start w:val="1"/>
      <w:numFmt w:val="bullet"/>
      <w:lvlText w:val=""/>
      <w:lvlJc w:val="left"/>
      <w:pPr>
        <w:tabs>
          <w:tab w:val="num" w:pos="5760"/>
        </w:tabs>
        <w:ind w:left="5760" w:hanging="360"/>
      </w:pPr>
      <w:rPr>
        <w:rFonts w:ascii="Wingdings" w:hAnsi="Wingdings" w:hint="default"/>
      </w:rPr>
    </w:lvl>
    <w:lvl w:ilvl="8" w:tplc="A9C6BD4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B01EEC"/>
    <w:multiLevelType w:val="hybridMultilevel"/>
    <w:tmpl w:val="989E818A"/>
    <w:lvl w:ilvl="0" w:tplc="2A765D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3457140"/>
    <w:multiLevelType w:val="hybridMultilevel"/>
    <w:tmpl w:val="8CA28FEC"/>
    <w:lvl w:ilvl="0" w:tplc="4A30A03C">
      <w:start w:val="6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686405"/>
    <w:multiLevelType w:val="hybridMultilevel"/>
    <w:tmpl w:val="9F54F29A"/>
    <w:lvl w:ilvl="0" w:tplc="A84AB00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1D20507"/>
    <w:multiLevelType w:val="hybridMultilevel"/>
    <w:tmpl w:val="07DE3F80"/>
    <w:lvl w:ilvl="0" w:tplc="81147CCE">
      <w:start w:val="1"/>
      <w:numFmt w:val="decimal"/>
      <w:lvlText w:val="%1."/>
      <w:lvlJc w:val="left"/>
      <w:pPr>
        <w:tabs>
          <w:tab w:val="num" w:pos="720"/>
        </w:tabs>
        <w:ind w:left="720" w:hanging="360"/>
      </w:pPr>
    </w:lvl>
    <w:lvl w:ilvl="1" w:tplc="5FEAF8F8" w:tentative="1">
      <w:start w:val="1"/>
      <w:numFmt w:val="decimal"/>
      <w:lvlText w:val="%2."/>
      <w:lvlJc w:val="left"/>
      <w:pPr>
        <w:tabs>
          <w:tab w:val="num" w:pos="1440"/>
        </w:tabs>
        <w:ind w:left="1440" w:hanging="360"/>
      </w:pPr>
    </w:lvl>
    <w:lvl w:ilvl="2" w:tplc="0316A044" w:tentative="1">
      <w:start w:val="1"/>
      <w:numFmt w:val="decimal"/>
      <w:lvlText w:val="%3."/>
      <w:lvlJc w:val="left"/>
      <w:pPr>
        <w:tabs>
          <w:tab w:val="num" w:pos="2160"/>
        </w:tabs>
        <w:ind w:left="2160" w:hanging="360"/>
      </w:pPr>
    </w:lvl>
    <w:lvl w:ilvl="3" w:tplc="D0388A28" w:tentative="1">
      <w:start w:val="1"/>
      <w:numFmt w:val="decimal"/>
      <w:lvlText w:val="%4."/>
      <w:lvlJc w:val="left"/>
      <w:pPr>
        <w:tabs>
          <w:tab w:val="num" w:pos="2880"/>
        </w:tabs>
        <w:ind w:left="2880" w:hanging="360"/>
      </w:pPr>
    </w:lvl>
    <w:lvl w:ilvl="4" w:tplc="8C74A2EC" w:tentative="1">
      <w:start w:val="1"/>
      <w:numFmt w:val="decimal"/>
      <w:lvlText w:val="%5."/>
      <w:lvlJc w:val="left"/>
      <w:pPr>
        <w:tabs>
          <w:tab w:val="num" w:pos="3600"/>
        </w:tabs>
        <w:ind w:left="3600" w:hanging="360"/>
      </w:pPr>
    </w:lvl>
    <w:lvl w:ilvl="5" w:tplc="A214482E" w:tentative="1">
      <w:start w:val="1"/>
      <w:numFmt w:val="decimal"/>
      <w:lvlText w:val="%6."/>
      <w:lvlJc w:val="left"/>
      <w:pPr>
        <w:tabs>
          <w:tab w:val="num" w:pos="4320"/>
        </w:tabs>
        <w:ind w:left="4320" w:hanging="360"/>
      </w:pPr>
    </w:lvl>
    <w:lvl w:ilvl="6" w:tplc="84563986" w:tentative="1">
      <w:start w:val="1"/>
      <w:numFmt w:val="decimal"/>
      <w:lvlText w:val="%7."/>
      <w:lvlJc w:val="left"/>
      <w:pPr>
        <w:tabs>
          <w:tab w:val="num" w:pos="5040"/>
        </w:tabs>
        <w:ind w:left="5040" w:hanging="360"/>
      </w:pPr>
    </w:lvl>
    <w:lvl w:ilvl="7" w:tplc="35321E22" w:tentative="1">
      <w:start w:val="1"/>
      <w:numFmt w:val="decimal"/>
      <w:lvlText w:val="%8."/>
      <w:lvlJc w:val="left"/>
      <w:pPr>
        <w:tabs>
          <w:tab w:val="num" w:pos="5760"/>
        </w:tabs>
        <w:ind w:left="5760" w:hanging="360"/>
      </w:pPr>
    </w:lvl>
    <w:lvl w:ilvl="8" w:tplc="72DCDD40" w:tentative="1">
      <w:start w:val="1"/>
      <w:numFmt w:val="decimal"/>
      <w:lvlText w:val="%9."/>
      <w:lvlJc w:val="left"/>
      <w:pPr>
        <w:tabs>
          <w:tab w:val="num" w:pos="6480"/>
        </w:tabs>
        <w:ind w:left="6480" w:hanging="360"/>
      </w:pPr>
    </w:lvl>
  </w:abstractNum>
  <w:abstractNum w:abstractNumId="11" w15:restartNumberingAfterBreak="0">
    <w:nsid w:val="776B0B4B"/>
    <w:multiLevelType w:val="multilevel"/>
    <w:tmpl w:val="FA62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5E3F57"/>
    <w:multiLevelType w:val="hybridMultilevel"/>
    <w:tmpl w:val="1AC67AE8"/>
    <w:lvl w:ilvl="0" w:tplc="8780C20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4"/>
  </w:num>
  <w:num w:numId="4">
    <w:abstractNumId w:val="2"/>
  </w:num>
  <w:num w:numId="5">
    <w:abstractNumId w:val="6"/>
  </w:num>
  <w:num w:numId="6">
    <w:abstractNumId w:val="9"/>
  </w:num>
  <w:num w:numId="7">
    <w:abstractNumId w:val="12"/>
  </w:num>
  <w:num w:numId="8">
    <w:abstractNumId w:val="5"/>
  </w:num>
  <w:num w:numId="9">
    <w:abstractNumId w:val="0"/>
  </w:num>
  <w:num w:numId="10">
    <w:abstractNumId w:val="11"/>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7EC"/>
    <w:rsid w:val="0001522C"/>
    <w:rsid w:val="0002438F"/>
    <w:rsid w:val="000739F2"/>
    <w:rsid w:val="00081C48"/>
    <w:rsid w:val="000D662C"/>
    <w:rsid w:val="000E402B"/>
    <w:rsid w:val="000E6EA9"/>
    <w:rsid w:val="000F3350"/>
    <w:rsid w:val="00106049"/>
    <w:rsid w:val="001077E6"/>
    <w:rsid w:val="00121F08"/>
    <w:rsid w:val="001262C0"/>
    <w:rsid w:val="00147E6F"/>
    <w:rsid w:val="00165C1A"/>
    <w:rsid w:val="001663AA"/>
    <w:rsid w:val="0016656E"/>
    <w:rsid w:val="001A38D3"/>
    <w:rsid w:val="001A4BF3"/>
    <w:rsid w:val="001B7E39"/>
    <w:rsid w:val="001C497F"/>
    <w:rsid w:val="001C53C1"/>
    <w:rsid w:val="0021728B"/>
    <w:rsid w:val="00221E3A"/>
    <w:rsid w:val="0022400A"/>
    <w:rsid w:val="002305D3"/>
    <w:rsid w:val="00235D28"/>
    <w:rsid w:val="002429F1"/>
    <w:rsid w:val="00260221"/>
    <w:rsid w:val="002658A3"/>
    <w:rsid w:val="00296F96"/>
    <w:rsid w:val="002B3F55"/>
    <w:rsid w:val="002D5449"/>
    <w:rsid w:val="002E25C1"/>
    <w:rsid w:val="002F6D44"/>
    <w:rsid w:val="00321E24"/>
    <w:rsid w:val="00352843"/>
    <w:rsid w:val="003630AB"/>
    <w:rsid w:val="00365B1B"/>
    <w:rsid w:val="003965D8"/>
    <w:rsid w:val="00397654"/>
    <w:rsid w:val="00397A05"/>
    <w:rsid w:val="003A1F2B"/>
    <w:rsid w:val="003C0FF2"/>
    <w:rsid w:val="003D4AFA"/>
    <w:rsid w:val="003F07C9"/>
    <w:rsid w:val="003F2A34"/>
    <w:rsid w:val="003F48A3"/>
    <w:rsid w:val="00400C42"/>
    <w:rsid w:val="00413A5B"/>
    <w:rsid w:val="0041517B"/>
    <w:rsid w:val="00417C4F"/>
    <w:rsid w:val="004310DD"/>
    <w:rsid w:val="004511FB"/>
    <w:rsid w:val="0045588D"/>
    <w:rsid w:val="0046634A"/>
    <w:rsid w:val="0047512C"/>
    <w:rsid w:val="00494DC9"/>
    <w:rsid w:val="004C670B"/>
    <w:rsid w:val="004D2462"/>
    <w:rsid w:val="004F1A10"/>
    <w:rsid w:val="004F3D57"/>
    <w:rsid w:val="005669A8"/>
    <w:rsid w:val="0058449A"/>
    <w:rsid w:val="005977EC"/>
    <w:rsid w:val="005B1891"/>
    <w:rsid w:val="005B4D84"/>
    <w:rsid w:val="005B5101"/>
    <w:rsid w:val="005C1D18"/>
    <w:rsid w:val="005E1EDB"/>
    <w:rsid w:val="005F350E"/>
    <w:rsid w:val="005F7FD1"/>
    <w:rsid w:val="00600096"/>
    <w:rsid w:val="00606EAB"/>
    <w:rsid w:val="006203A8"/>
    <w:rsid w:val="00673779"/>
    <w:rsid w:val="00695D1A"/>
    <w:rsid w:val="006B7250"/>
    <w:rsid w:val="006C0CEE"/>
    <w:rsid w:val="006D5C91"/>
    <w:rsid w:val="006D784C"/>
    <w:rsid w:val="006F2CB2"/>
    <w:rsid w:val="007147AE"/>
    <w:rsid w:val="00722F9A"/>
    <w:rsid w:val="00730DB4"/>
    <w:rsid w:val="007449A0"/>
    <w:rsid w:val="00764FDF"/>
    <w:rsid w:val="00774444"/>
    <w:rsid w:val="00775736"/>
    <w:rsid w:val="00781375"/>
    <w:rsid w:val="00782136"/>
    <w:rsid w:val="00790130"/>
    <w:rsid w:val="00791F2C"/>
    <w:rsid w:val="00797087"/>
    <w:rsid w:val="007A329E"/>
    <w:rsid w:val="007A6861"/>
    <w:rsid w:val="007E5B6E"/>
    <w:rsid w:val="007F1AD2"/>
    <w:rsid w:val="00801E48"/>
    <w:rsid w:val="00806DDC"/>
    <w:rsid w:val="00824BCA"/>
    <w:rsid w:val="00825910"/>
    <w:rsid w:val="0083707A"/>
    <w:rsid w:val="0084591F"/>
    <w:rsid w:val="00847DF0"/>
    <w:rsid w:val="008524FD"/>
    <w:rsid w:val="00871A11"/>
    <w:rsid w:val="0089061B"/>
    <w:rsid w:val="008A0F25"/>
    <w:rsid w:val="008A4A64"/>
    <w:rsid w:val="008C196A"/>
    <w:rsid w:val="008C199D"/>
    <w:rsid w:val="008E1B59"/>
    <w:rsid w:val="008E765C"/>
    <w:rsid w:val="008F244B"/>
    <w:rsid w:val="00907B72"/>
    <w:rsid w:val="0091095D"/>
    <w:rsid w:val="00913A41"/>
    <w:rsid w:val="00924FCF"/>
    <w:rsid w:val="00936ABF"/>
    <w:rsid w:val="00970FE0"/>
    <w:rsid w:val="00971472"/>
    <w:rsid w:val="00995270"/>
    <w:rsid w:val="009B33FB"/>
    <w:rsid w:val="009B4C41"/>
    <w:rsid w:val="009B6980"/>
    <w:rsid w:val="009B774C"/>
    <w:rsid w:val="009F076D"/>
    <w:rsid w:val="00A0280E"/>
    <w:rsid w:val="00A06614"/>
    <w:rsid w:val="00A3750C"/>
    <w:rsid w:val="00A71FEF"/>
    <w:rsid w:val="00A72FF2"/>
    <w:rsid w:val="00A857FE"/>
    <w:rsid w:val="00AC3536"/>
    <w:rsid w:val="00AD0180"/>
    <w:rsid w:val="00AE15C4"/>
    <w:rsid w:val="00AF344F"/>
    <w:rsid w:val="00AF7D59"/>
    <w:rsid w:val="00B02286"/>
    <w:rsid w:val="00B0577F"/>
    <w:rsid w:val="00B26203"/>
    <w:rsid w:val="00B34126"/>
    <w:rsid w:val="00B34682"/>
    <w:rsid w:val="00B44D73"/>
    <w:rsid w:val="00B60932"/>
    <w:rsid w:val="00B6107E"/>
    <w:rsid w:val="00BB7AE1"/>
    <w:rsid w:val="00BC334D"/>
    <w:rsid w:val="00BC72B9"/>
    <w:rsid w:val="00BF1A92"/>
    <w:rsid w:val="00C17168"/>
    <w:rsid w:val="00C35648"/>
    <w:rsid w:val="00C46CB7"/>
    <w:rsid w:val="00C51D14"/>
    <w:rsid w:val="00C7359F"/>
    <w:rsid w:val="00C76431"/>
    <w:rsid w:val="00C911E8"/>
    <w:rsid w:val="00CB21D6"/>
    <w:rsid w:val="00CC57F7"/>
    <w:rsid w:val="00CD5AEB"/>
    <w:rsid w:val="00D17DE5"/>
    <w:rsid w:val="00D41257"/>
    <w:rsid w:val="00D423A2"/>
    <w:rsid w:val="00D633A7"/>
    <w:rsid w:val="00D704DF"/>
    <w:rsid w:val="00D844A5"/>
    <w:rsid w:val="00D97882"/>
    <w:rsid w:val="00DA220E"/>
    <w:rsid w:val="00DA379F"/>
    <w:rsid w:val="00DA46B1"/>
    <w:rsid w:val="00DB082E"/>
    <w:rsid w:val="00DC49C3"/>
    <w:rsid w:val="00DC794B"/>
    <w:rsid w:val="00DD3CCA"/>
    <w:rsid w:val="00DF0D07"/>
    <w:rsid w:val="00DF6461"/>
    <w:rsid w:val="00DF7130"/>
    <w:rsid w:val="00DF73FD"/>
    <w:rsid w:val="00DF7C61"/>
    <w:rsid w:val="00E039FB"/>
    <w:rsid w:val="00E220FC"/>
    <w:rsid w:val="00E24C7D"/>
    <w:rsid w:val="00E739AB"/>
    <w:rsid w:val="00EB76E1"/>
    <w:rsid w:val="00EC2F6C"/>
    <w:rsid w:val="00ED65A4"/>
    <w:rsid w:val="00F1113B"/>
    <w:rsid w:val="00F209ED"/>
    <w:rsid w:val="00F23B1D"/>
    <w:rsid w:val="00F32D4F"/>
    <w:rsid w:val="00F404E8"/>
    <w:rsid w:val="00F41CF2"/>
    <w:rsid w:val="00F630A3"/>
    <w:rsid w:val="00F73370"/>
    <w:rsid w:val="00FA3DC5"/>
    <w:rsid w:val="00FC2BE0"/>
    <w:rsid w:val="00FC3562"/>
    <w:rsid w:val="00FC63CA"/>
    <w:rsid w:val="00FD43AD"/>
    <w:rsid w:val="00FD6F1C"/>
    <w:rsid w:val="00FE5D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B6A02"/>
  <w15:chartTrackingRefBased/>
  <w15:docId w15:val="{223723BE-34DD-49A5-BFCD-9DEF087A7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44F"/>
  </w:style>
  <w:style w:type="paragraph" w:styleId="Titre1">
    <w:name w:val="heading 1"/>
    <w:basedOn w:val="Normal"/>
    <w:next w:val="Normal"/>
    <w:link w:val="Titre1Car"/>
    <w:uiPriority w:val="9"/>
    <w:qFormat/>
    <w:rsid w:val="00AF34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36A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936A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77EC"/>
    <w:pPr>
      <w:tabs>
        <w:tab w:val="center" w:pos="4536"/>
        <w:tab w:val="right" w:pos="9072"/>
      </w:tabs>
      <w:spacing w:after="0" w:line="240" w:lineRule="auto"/>
    </w:pPr>
  </w:style>
  <w:style w:type="character" w:customStyle="1" w:styleId="En-tteCar">
    <w:name w:val="En-tête Car"/>
    <w:basedOn w:val="Policepardfaut"/>
    <w:link w:val="En-tte"/>
    <w:uiPriority w:val="99"/>
    <w:rsid w:val="005977EC"/>
  </w:style>
  <w:style w:type="paragraph" w:styleId="Pieddepage">
    <w:name w:val="footer"/>
    <w:basedOn w:val="Normal"/>
    <w:link w:val="PieddepageCar"/>
    <w:uiPriority w:val="99"/>
    <w:unhideWhenUsed/>
    <w:rsid w:val="005977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77EC"/>
  </w:style>
  <w:style w:type="paragraph" w:customStyle="1" w:styleId="Style2">
    <w:name w:val="Style2"/>
    <w:basedOn w:val="Normal"/>
    <w:link w:val="Style2Car"/>
    <w:rsid w:val="005977EC"/>
    <w:pPr>
      <w:spacing w:after="0" w:line="240" w:lineRule="auto"/>
      <w:jc w:val="both"/>
    </w:pPr>
    <w:rPr>
      <w:rFonts w:ascii="Garamond" w:eastAsia="Times New Roman" w:hAnsi="Garamond" w:cs="Times New Roman"/>
      <w:b/>
      <w:bCs/>
      <w:i/>
      <w:color w:val="000080"/>
      <w:sz w:val="24"/>
      <w:szCs w:val="24"/>
      <w:lang w:eastAsia="fr-FR"/>
    </w:rPr>
  </w:style>
  <w:style w:type="character" w:customStyle="1" w:styleId="Style2Car">
    <w:name w:val="Style2 Car"/>
    <w:link w:val="Style2"/>
    <w:rsid w:val="005977EC"/>
    <w:rPr>
      <w:rFonts w:ascii="Garamond" w:eastAsia="Times New Roman" w:hAnsi="Garamond" w:cs="Times New Roman"/>
      <w:b/>
      <w:bCs/>
      <w:i/>
      <w:color w:val="000080"/>
      <w:sz w:val="24"/>
      <w:szCs w:val="24"/>
      <w:lang w:eastAsia="fr-FR"/>
    </w:rPr>
  </w:style>
  <w:style w:type="character" w:styleId="Numrodepage">
    <w:name w:val="page number"/>
    <w:basedOn w:val="Policepardfaut"/>
    <w:rsid w:val="00971472"/>
  </w:style>
  <w:style w:type="paragraph" w:styleId="Textedebulles">
    <w:name w:val="Balloon Text"/>
    <w:basedOn w:val="Normal"/>
    <w:link w:val="TextedebullesCar"/>
    <w:uiPriority w:val="99"/>
    <w:semiHidden/>
    <w:unhideWhenUsed/>
    <w:rsid w:val="005B5101"/>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B5101"/>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C35648"/>
    <w:rPr>
      <w:sz w:val="16"/>
      <w:szCs w:val="16"/>
    </w:rPr>
  </w:style>
  <w:style w:type="paragraph" w:styleId="Commentaire">
    <w:name w:val="annotation text"/>
    <w:basedOn w:val="Normal"/>
    <w:link w:val="CommentaireCar"/>
    <w:uiPriority w:val="99"/>
    <w:semiHidden/>
    <w:unhideWhenUsed/>
    <w:rsid w:val="00C35648"/>
    <w:pPr>
      <w:spacing w:line="240" w:lineRule="auto"/>
    </w:pPr>
    <w:rPr>
      <w:sz w:val="20"/>
      <w:szCs w:val="20"/>
    </w:rPr>
  </w:style>
  <w:style w:type="character" w:customStyle="1" w:styleId="CommentaireCar">
    <w:name w:val="Commentaire Car"/>
    <w:basedOn w:val="Policepardfaut"/>
    <w:link w:val="Commentaire"/>
    <w:uiPriority w:val="99"/>
    <w:semiHidden/>
    <w:rsid w:val="00C35648"/>
    <w:rPr>
      <w:sz w:val="20"/>
      <w:szCs w:val="20"/>
    </w:rPr>
  </w:style>
  <w:style w:type="paragraph" w:styleId="Objetducommentaire">
    <w:name w:val="annotation subject"/>
    <w:basedOn w:val="Commentaire"/>
    <w:next w:val="Commentaire"/>
    <w:link w:val="ObjetducommentaireCar"/>
    <w:uiPriority w:val="99"/>
    <w:semiHidden/>
    <w:unhideWhenUsed/>
    <w:rsid w:val="00C35648"/>
    <w:rPr>
      <w:b/>
      <w:bCs/>
    </w:rPr>
  </w:style>
  <w:style w:type="character" w:customStyle="1" w:styleId="ObjetducommentaireCar">
    <w:name w:val="Objet du commentaire Car"/>
    <w:basedOn w:val="CommentaireCar"/>
    <w:link w:val="Objetducommentaire"/>
    <w:uiPriority w:val="99"/>
    <w:semiHidden/>
    <w:rsid w:val="00C35648"/>
    <w:rPr>
      <w:b/>
      <w:bCs/>
      <w:sz w:val="20"/>
      <w:szCs w:val="20"/>
    </w:rPr>
  </w:style>
  <w:style w:type="character" w:customStyle="1" w:styleId="Titre1Car">
    <w:name w:val="Titre 1 Car"/>
    <w:basedOn w:val="Policepardfaut"/>
    <w:link w:val="Titre1"/>
    <w:uiPriority w:val="9"/>
    <w:rsid w:val="00AF344F"/>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AF344F"/>
    <w:pPr>
      <w:outlineLvl w:val="9"/>
    </w:pPr>
    <w:rPr>
      <w:lang w:eastAsia="fr-FR"/>
    </w:rPr>
  </w:style>
  <w:style w:type="paragraph" w:styleId="TM1">
    <w:name w:val="toc 1"/>
    <w:basedOn w:val="Normal"/>
    <w:next w:val="Normal"/>
    <w:autoRedefine/>
    <w:uiPriority w:val="39"/>
    <w:unhideWhenUsed/>
    <w:rsid w:val="00AF344F"/>
    <w:pPr>
      <w:spacing w:after="100"/>
    </w:pPr>
  </w:style>
  <w:style w:type="character" w:styleId="Lienhypertexte">
    <w:name w:val="Hyperlink"/>
    <w:basedOn w:val="Policepardfaut"/>
    <w:uiPriority w:val="99"/>
    <w:unhideWhenUsed/>
    <w:rsid w:val="00AF344F"/>
    <w:rPr>
      <w:color w:val="0563C1" w:themeColor="hyperlink"/>
      <w:u w:val="single"/>
    </w:rPr>
  </w:style>
  <w:style w:type="table" w:styleId="Grilledutableau">
    <w:name w:val="Table Grid"/>
    <w:basedOn w:val="TableauNormal"/>
    <w:uiPriority w:val="39"/>
    <w:rsid w:val="00024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E15C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70FE0"/>
    <w:pPr>
      <w:ind w:left="720"/>
      <w:contextualSpacing/>
    </w:pPr>
  </w:style>
  <w:style w:type="character" w:styleId="Accentuationlgre">
    <w:name w:val="Subtle Emphasis"/>
    <w:basedOn w:val="Policepardfaut"/>
    <w:uiPriority w:val="19"/>
    <w:qFormat/>
    <w:rsid w:val="00EB76E1"/>
    <w:rPr>
      <w:i/>
      <w:iCs/>
      <w:color w:val="404040" w:themeColor="text1" w:themeTint="BF"/>
    </w:rPr>
  </w:style>
  <w:style w:type="character" w:styleId="Mentionnonrsolue">
    <w:name w:val="Unresolved Mention"/>
    <w:basedOn w:val="Policepardfaut"/>
    <w:uiPriority w:val="99"/>
    <w:semiHidden/>
    <w:unhideWhenUsed/>
    <w:rsid w:val="00936ABF"/>
    <w:rPr>
      <w:color w:val="605E5C"/>
      <w:shd w:val="clear" w:color="auto" w:fill="E1DFDD"/>
    </w:rPr>
  </w:style>
  <w:style w:type="character" w:customStyle="1" w:styleId="Titre2Car">
    <w:name w:val="Titre 2 Car"/>
    <w:basedOn w:val="Policepardfaut"/>
    <w:link w:val="Titre2"/>
    <w:uiPriority w:val="9"/>
    <w:semiHidden/>
    <w:rsid w:val="00936ABF"/>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936ABF"/>
    <w:rPr>
      <w:rFonts w:asciiTheme="majorHAnsi" w:eastAsiaTheme="majorEastAsia" w:hAnsiTheme="majorHAnsi" w:cstheme="majorBidi"/>
      <w:color w:val="1F3763" w:themeColor="accent1" w:themeShade="7F"/>
      <w:sz w:val="24"/>
      <w:szCs w:val="24"/>
    </w:rPr>
  </w:style>
  <w:style w:type="paragraph" w:customStyle="1" w:styleId="Default">
    <w:name w:val="Default"/>
    <w:rsid w:val="007813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40252">
      <w:bodyDiv w:val="1"/>
      <w:marLeft w:val="0"/>
      <w:marRight w:val="0"/>
      <w:marTop w:val="0"/>
      <w:marBottom w:val="0"/>
      <w:divBdr>
        <w:top w:val="none" w:sz="0" w:space="0" w:color="auto"/>
        <w:left w:val="none" w:sz="0" w:space="0" w:color="auto"/>
        <w:bottom w:val="none" w:sz="0" w:space="0" w:color="auto"/>
        <w:right w:val="none" w:sz="0" w:space="0" w:color="auto"/>
      </w:divBdr>
      <w:divsChild>
        <w:div w:id="634523799">
          <w:marLeft w:val="1166"/>
          <w:marRight w:val="0"/>
          <w:marTop w:val="284"/>
          <w:marBottom w:val="0"/>
          <w:divBdr>
            <w:top w:val="none" w:sz="0" w:space="0" w:color="auto"/>
            <w:left w:val="none" w:sz="0" w:space="0" w:color="auto"/>
            <w:bottom w:val="none" w:sz="0" w:space="0" w:color="auto"/>
            <w:right w:val="none" w:sz="0" w:space="0" w:color="auto"/>
          </w:divBdr>
        </w:div>
      </w:divsChild>
    </w:div>
    <w:div w:id="516162312">
      <w:bodyDiv w:val="1"/>
      <w:marLeft w:val="0"/>
      <w:marRight w:val="0"/>
      <w:marTop w:val="0"/>
      <w:marBottom w:val="0"/>
      <w:divBdr>
        <w:top w:val="none" w:sz="0" w:space="0" w:color="auto"/>
        <w:left w:val="none" w:sz="0" w:space="0" w:color="auto"/>
        <w:bottom w:val="none" w:sz="0" w:space="0" w:color="auto"/>
        <w:right w:val="none" w:sz="0" w:space="0" w:color="auto"/>
      </w:divBdr>
      <w:divsChild>
        <w:div w:id="2067335640">
          <w:marLeft w:val="547"/>
          <w:marRight w:val="0"/>
          <w:marTop w:val="0"/>
          <w:marBottom w:val="0"/>
          <w:divBdr>
            <w:top w:val="none" w:sz="0" w:space="0" w:color="auto"/>
            <w:left w:val="none" w:sz="0" w:space="0" w:color="auto"/>
            <w:bottom w:val="none" w:sz="0" w:space="0" w:color="auto"/>
            <w:right w:val="none" w:sz="0" w:space="0" w:color="auto"/>
          </w:divBdr>
        </w:div>
        <w:div w:id="1446850849">
          <w:marLeft w:val="547"/>
          <w:marRight w:val="0"/>
          <w:marTop w:val="0"/>
          <w:marBottom w:val="0"/>
          <w:divBdr>
            <w:top w:val="none" w:sz="0" w:space="0" w:color="auto"/>
            <w:left w:val="none" w:sz="0" w:space="0" w:color="auto"/>
            <w:bottom w:val="none" w:sz="0" w:space="0" w:color="auto"/>
            <w:right w:val="none" w:sz="0" w:space="0" w:color="auto"/>
          </w:divBdr>
        </w:div>
        <w:div w:id="1979722200">
          <w:marLeft w:val="547"/>
          <w:marRight w:val="0"/>
          <w:marTop w:val="0"/>
          <w:marBottom w:val="0"/>
          <w:divBdr>
            <w:top w:val="none" w:sz="0" w:space="0" w:color="auto"/>
            <w:left w:val="none" w:sz="0" w:space="0" w:color="auto"/>
            <w:bottom w:val="none" w:sz="0" w:space="0" w:color="auto"/>
            <w:right w:val="none" w:sz="0" w:space="0" w:color="auto"/>
          </w:divBdr>
        </w:div>
        <w:div w:id="1006637129">
          <w:marLeft w:val="547"/>
          <w:marRight w:val="0"/>
          <w:marTop w:val="0"/>
          <w:marBottom w:val="0"/>
          <w:divBdr>
            <w:top w:val="none" w:sz="0" w:space="0" w:color="auto"/>
            <w:left w:val="none" w:sz="0" w:space="0" w:color="auto"/>
            <w:bottom w:val="none" w:sz="0" w:space="0" w:color="auto"/>
            <w:right w:val="none" w:sz="0" w:space="0" w:color="auto"/>
          </w:divBdr>
        </w:div>
        <w:div w:id="1287274862">
          <w:marLeft w:val="547"/>
          <w:marRight w:val="0"/>
          <w:marTop w:val="0"/>
          <w:marBottom w:val="0"/>
          <w:divBdr>
            <w:top w:val="none" w:sz="0" w:space="0" w:color="auto"/>
            <w:left w:val="none" w:sz="0" w:space="0" w:color="auto"/>
            <w:bottom w:val="none" w:sz="0" w:space="0" w:color="auto"/>
            <w:right w:val="none" w:sz="0" w:space="0" w:color="auto"/>
          </w:divBdr>
        </w:div>
        <w:div w:id="1874878922">
          <w:marLeft w:val="547"/>
          <w:marRight w:val="0"/>
          <w:marTop w:val="0"/>
          <w:marBottom w:val="0"/>
          <w:divBdr>
            <w:top w:val="none" w:sz="0" w:space="0" w:color="auto"/>
            <w:left w:val="none" w:sz="0" w:space="0" w:color="auto"/>
            <w:bottom w:val="none" w:sz="0" w:space="0" w:color="auto"/>
            <w:right w:val="none" w:sz="0" w:space="0" w:color="auto"/>
          </w:divBdr>
        </w:div>
        <w:div w:id="1978223694">
          <w:marLeft w:val="547"/>
          <w:marRight w:val="0"/>
          <w:marTop w:val="0"/>
          <w:marBottom w:val="0"/>
          <w:divBdr>
            <w:top w:val="none" w:sz="0" w:space="0" w:color="auto"/>
            <w:left w:val="none" w:sz="0" w:space="0" w:color="auto"/>
            <w:bottom w:val="none" w:sz="0" w:space="0" w:color="auto"/>
            <w:right w:val="none" w:sz="0" w:space="0" w:color="auto"/>
          </w:divBdr>
        </w:div>
        <w:div w:id="1976719063">
          <w:marLeft w:val="547"/>
          <w:marRight w:val="0"/>
          <w:marTop w:val="0"/>
          <w:marBottom w:val="0"/>
          <w:divBdr>
            <w:top w:val="none" w:sz="0" w:space="0" w:color="auto"/>
            <w:left w:val="none" w:sz="0" w:space="0" w:color="auto"/>
            <w:bottom w:val="none" w:sz="0" w:space="0" w:color="auto"/>
            <w:right w:val="none" w:sz="0" w:space="0" w:color="auto"/>
          </w:divBdr>
        </w:div>
      </w:divsChild>
    </w:div>
    <w:div w:id="919095439">
      <w:bodyDiv w:val="1"/>
      <w:marLeft w:val="0"/>
      <w:marRight w:val="0"/>
      <w:marTop w:val="0"/>
      <w:marBottom w:val="0"/>
      <w:divBdr>
        <w:top w:val="none" w:sz="0" w:space="0" w:color="auto"/>
        <w:left w:val="none" w:sz="0" w:space="0" w:color="auto"/>
        <w:bottom w:val="none" w:sz="0" w:space="0" w:color="auto"/>
        <w:right w:val="none" w:sz="0" w:space="0" w:color="auto"/>
      </w:divBdr>
    </w:div>
    <w:div w:id="1214004633">
      <w:bodyDiv w:val="1"/>
      <w:marLeft w:val="0"/>
      <w:marRight w:val="0"/>
      <w:marTop w:val="0"/>
      <w:marBottom w:val="0"/>
      <w:divBdr>
        <w:top w:val="none" w:sz="0" w:space="0" w:color="auto"/>
        <w:left w:val="none" w:sz="0" w:space="0" w:color="auto"/>
        <w:bottom w:val="none" w:sz="0" w:space="0" w:color="auto"/>
        <w:right w:val="none" w:sz="0" w:space="0" w:color="auto"/>
      </w:divBdr>
    </w:div>
    <w:div w:id="1450583778">
      <w:bodyDiv w:val="1"/>
      <w:marLeft w:val="0"/>
      <w:marRight w:val="0"/>
      <w:marTop w:val="0"/>
      <w:marBottom w:val="0"/>
      <w:divBdr>
        <w:top w:val="none" w:sz="0" w:space="0" w:color="auto"/>
        <w:left w:val="none" w:sz="0" w:space="0" w:color="auto"/>
        <w:bottom w:val="none" w:sz="0" w:space="0" w:color="auto"/>
        <w:right w:val="none" w:sz="0" w:space="0" w:color="auto"/>
      </w:divBdr>
    </w:div>
    <w:div w:id="1544903646">
      <w:bodyDiv w:val="1"/>
      <w:marLeft w:val="0"/>
      <w:marRight w:val="0"/>
      <w:marTop w:val="0"/>
      <w:marBottom w:val="0"/>
      <w:divBdr>
        <w:top w:val="none" w:sz="0" w:space="0" w:color="auto"/>
        <w:left w:val="none" w:sz="0" w:space="0" w:color="auto"/>
        <w:bottom w:val="none" w:sz="0" w:space="0" w:color="auto"/>
        <w:right w:val="none" w:sz="0" w:space="0" w:color="auto"/>
      </w:divBdr>
    </w:div>
    <w:div w:id="1599366388">
      <w:bodyDiv w:val="1"/>
      <w:marLeft w:val="0"/>
      <w:marRight w:val="0"/>
      <w:marTop w:val="0"/>
      <w:marBottom w:val="0"/>
      <w:divBdr>
        <w:top w:val="none" w:sz="0" w:space="0" w:color="auto"/>
        <w:left w:val="none" w:sz="0" w:space="0" w:color="auto"/>
        <w:bottom w:val="none" w:sz="0" w:space="0" w:color="auto"/>
        <w:right w:val="none" w:sz="0" w:space="0" w:color="auto"/>
      </w:divBdr>
    </w:div>
    <w:div w:id="1664551436">
      <w:bodyDiv w:val="1"/>
      <w:marLeft w:val="0"/>
      <w:marRight w:val="0"/>
      <w:marTop w:val="0"/>
      <w:marBottom w:val="0"/>
      <w:divBdr>
        <w:top w:val="none" w:sz="0" w:space="0" w:color="auto"/>
        <w:left w:val="none" w:sz="0" w:space="0" w:color="auto"/>
        <w:bottom w:val="none" w:sz="0" w:space="0" w:color="auto"/>
        <w:right w:val="none" w:sz="0" w:space="0" w:color="auto"/>
      </w:divBdr>
    </w:div>
    <w:div w:id="2015494630">
      <w:bodyDiv w:val="1"/>
      <w:marLeft w:val="0"/>
      <w:marRight w:val="0"/>
      <w:marTop w:val="0"/>
      <w:marBottom w:val="0"/>
      <w:divBdr>
        <w:top w:val="none" w:sz="0" w:space="0" w:color="auto"/>
        <w:left w:val="none" w:sz="0" w:space="0" w:color="auto"/>
        <w:bottom w:val="none" w:sz="0" w:space="0" w:color="auto"/>
        <w:right w:val="none" w:sz="0" w:space="0" w:color="auto"/>
      </w:divBdr>
    </w:div>
    <w:div w:id="208032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EFD1D-B2C6-4EB8-B054-BDB8F764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1333</Words>
  <Characters>7336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Henri-Louis LARDENNOIS</dc:creator>
  <cp:keywords/>
  <dc:description/>
  <cp:lastModifiedBy>Raoul GHIANDONI</cp:lastModifiedBy>
  <cp:revision>3</cp:revision>
  <dcterms:created xsi:type="dcterms:W3CDTF">2021-09-29T12:30:00Z</dcterms:created>
  <dcterms:modified xsi:type="dcterms:W3CDTF">2021-09-29T12:41:00Z</dcterms:modified>
</cp:coreProperties>
</file>